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ind w:firstLine="709" w:right="10"/>
        <w:jc w:val="center"/>
        <w:rPr>
          <w:b/>
          <w:sz w:val="24"/>
          <w:szCs w:val="24"/>
        </w:rPr>
      </w:pPr>
      <w:r>
        <w:rPr>
          <w:b/>
          <w:sz w:val="24"/>
          <w:szCs w:val="24"/>
        </w:rPr>
        <w:t xml:space="preserve">Модуль А «Составление локальной сметы на основании спецификации </w:t>
      </w:r>
    </w:p>
    <w:p>
      <w:pPr>
        <w:pStyle w:val="Normal"/>
        <w:spacing w:lineRule="auto" w:line="276"/>
        <w:ind w:firstLine="709" w:right="10"/>
        <w:jc w:val="center"/>
        <w:rPr>
          <w:b/>
          <w:sz w:val="24"/>
          <w:szCs w:val="24"/>
        </w:rPr>
      </w:pPr>
      <w:r>
        <w:rPr>
          <w:b/>
          <w:sz w:val="24"/>
          <w:szCs w:val="24"/>
        </w:rPr>
        <w:t>и чертежа»</w:t>
      </w:r>
    </w:p>
    <w:p>
      <w:pPr>
        <w:pStyle w:val="BodyText"/>
        <w:spacing w:lineRule="auto" w:line="276"/>
        <w:ind w:firstLine="709" w:right="265"/>
        <w:jc w:val="both"/>
        <w:rPr/>
      </w:pPr>
      <w:r>
        <w:rPr/>
      </w:r>
    </w:p>
    <w:p>
      <w:pPr>
        <w:pStyle w:val="BodyText"/>
        <w:spacing w:lineRule="auto" w:line="276"/>
        <w:ind w:firstLine="709" w:right="-2"/>
        <w:jc w:val="both"/>
        <w:rPr>
          <w:rFonts w:eastAsia="GOSTTypeB"/>
          <w:lang w:eastAsia="en-US" w:bidi="ar-SA"/>
        </w:rPr>
      </w:pPr>
      <w:r>
        <w:rPr>
          <w:rFonts w:eastAsia="GOSTTypeB"/>
          <w:lang w:eastAsia="en-US" w:bidi="ar-SA"/>
        </w:rPr>
        <w:t xml:space="preserve">Рассчитать объемы работ, заполнив прилагаемые формы. На основании составленных ведомостей объемов работ, общих указаний, чертежей и спецификации элементов составить локальную смету. </w:t>
      </w:r>
    </w:p>
    <w:p>
      <w:pPr>
        <w:pStyle w:val="BodyText"/>
        <w:spacing w:lineRule="auto" w:line="276"/>
        <w:ind w:firstLine="709" w:right="-2"/>
        <w:jc w:val="both"/>
        <w:rPr>
          <w:rFonts w:eastAsia="GOSTTypeB"/>
          <w:lang w:eastAsia="en-US" w:bidi="ar-SA"/>
        </w:rPr>
      </w:pPr>
      <w:r>
        <w:rPr>
          <w:rFonts w:eastAsia="GOSTTypeB"/>
          <w:lang w:eastAsia="en-US" w:bidi="ar-SA"/>
        </w:rPr>
        <w:t xml:space="preserve">При составлении локальной сметы применить сборники ФЕР со всеми изменениями и дополнениями в уровне цен по состоянию на 01.01.2000г. </w:t>
      </w:r>
    </w:p>
    <w:p>
      <w:pPr>
        <w:pStyle w:val="BodyText"/>
        <w:spacing w:lineRule="auto" w:line="276"/>
        <w:ind w:firstLine="709" w:right="-2"/>
        <w:jc w:val="both"/>
        <w:rPr>
          <w:rFonts w:eastAsia="GOSTTypeB"/>
          <w:lang w:eastAsia="en-US" w:bidi="ar-SA"/>
        </w:rPr>
      </w:pPr>
      <w:r>
        <w:rPr>
          <w:rFonts w:eastAsia="GOSTTypeB"/>
          <w:lang w:eastAsia="en-US" w:bidi="ar-SA"/>
        </w:rPr>
        <w:t xml:space="preserve">Здание Общественного центра строится в микрорайоне «Высота» в городе Ульяновск. </w:t>
      </w:r>
    </w:p>
    <w:p>
      <w:pPr>
        <w:pStyle w:val="BodyText"/>
        <w:spacing w:lineRule="auto" w:line="276"/>
        <w:ind w:firstLine="709" w:right="-2"/>
        <w:jc w:val="both"/>
        <w:rPr>
          <w:rFonts w:eastAsia="GOSTTypeB"/>
          <w:lang w:eastAsia="en-US" w:bidi="ar-SA"/>
        </w:rPr>
      </w:pPr>
      <w:r>
        <w:rPr>
          <w:rFonts w:eastAsia="GOSTTypeB"/>
          <w:lang w:eastAsia="en-US" w:bidi="ar-SA"/>
        </w:rPr>
        <w:t xml:space="preserve">Локальному сметному расчету присвоить № 02-01-01. </w:t>
      </w:r>
    </w:p>
    <w:p>
      <w:pPr>
        <w:pStyle w:val="BodyText"/>
        <w:spacing w:lineRule="auto" w:line="276"/>
        <w:ind w:firstLine="709" w:right="-2"/>
        <w:jc w:val="both"/>
        <w:rPr/>
      </w:pPr>
      <w:r>
        <w:rPr>
          <w:rFonts w:eastAsia="GOSTTypeB"/>
          <w:lang w:eastAsia="en-US" w:bidi="ar-SA"/>
        </w:rPr>
        <w:t>Составил: инженер-сметчик Агатов А.А. Проверил: начальник ПТО Андреев Б.В.</w:t>
      </w:r>
      <w:r>
        <w:rPr/>
        <w:t xml:space="preserve"> </w:t>
      </w:r>
    </w:p>
    <w:p>
      <w:pPr>
        <w:pStyle w:val="BodyText"/>
        <w:spacing w:lineRule="auto" w:line="276"/>
        <w:ind w:firstLine="709" w:right="-2"/>
        <w:jc w:val="both"/>
        <w:rPr>
          <w:rFonts w:eastAsia="GOSTTypeB"/>
          <w:lang w:eastAsia="en-US" w:bidi="ar-SA"/>
        </w:rPr>
      </w:pPr>
      <w:r>
        <w:rPr>
          <w:rFonts w:eastAsia="GOSTTypeB"/>
          <w:lang w:eastAsia="en-US" w:bidi="ar-SA"/>
        </w:rPr>
        <w:t xml:space="preserve">Основание: Чертежи АС. </w:t>
      </w:r>
    </w:p>
    <w:p>
      <w:pPr>
        <w:pStyle w:val="BodyText"/>
        <w:numPr>
          <w:ilvl w:val="0"/>
          <w:numId w:val="1"/>
        </w:numPr>
        <w:spacing w:lineRule="auto" w:line="276"/>
        <w:ind w:firstLine="709" w:left="0"/>
        <w:jc w:val="both"/>
        <w:rPr>
          <w:rFonts w:eastAsia="GOSTTypeB"/>
          <w:lang w:eastAsia="en-US" w:bidi="ar-SA"/>
        </w:rPr>
      </w:pPr>
      <w:r>
        <w:rPr>
          <w:rFonts w:eastAsia="GOSTTypeB"/>
          <w:lang w:eastAsia="en-US" w:bidi="ar-SA"/>
        </w:rPr>
        <w:t xml:space="preserve">Составить Ведомости подсчета объемов работ, заполнив соответствующий шаблон. При составлении Ведомости следует руководствоваться указаниями, приведенными в графе 3. Все подсчеты должны быть расшифрованы с указанием исходных данных. Единицы измерения должны соответствовать единицам измерения, принятым в соответствующих расценках. В Ведомости нужно подсчитать только те объемы работ, которые предусмотрены. </w:t>
      </w:r>
    </w:p>
    <w:p>
      <w:pPr>
        <w:pStyle w:val="BodyText"/>
        <w:numPr>
          <w:ilvl w:val="0"/>
          <w:numId w:val="1"/>
        </w:numPr>
        <w:spacing w:lineRule="auto" w:line="276"/>
        <w:ind w:firstLine="709" w:left="0"/>
        <w:jc w:val="both"/>
        <w:rPr>
          <w:rFonts w:eastAsia="GOSTTypeB"/>
          <w:lang w:eastAsia="en-US" w:bidi="ar-SA"/>
        </w:rPr>
      </w:pPr>
      <w:r>
        <w:rPr>
          <w:rFonts w:eastAsia="GOSTTypeB"/>
          <w:lang w:eastAsia="en-US" w:bidi="ar-SA"/>
        </w:rPr>
        <w:t xml:space="preserve">На основании Ведомостей объемов работ составить Локальную смету. Локальная смета должна быть составлена с делением на разделы по видам работ. </w:t>
      </w:r>
      <w:r>
        <w:rPr/>
        <w:t>Результатом выполнения работы будут заполненные ведомости работ по представленным формам и локальная смета, выгруженная в формате Excel.</w:t>
      </w:r>
    </w:p>
    <w:p>
      <w:pPr>
        <w:pStyle w:val="BodyText"/>
        <w:numPr>
          <w:ilvl w:val="0"/>
          <w:numId w:val="1"/>
        </w:numPr>
        <w:spacing w:lineRule="auto" w:line="276"/>
        <w:ind w:firstLine="709" w:left="0"/>
        <w:jc w:val="both"/>
        <w:rPr>
          <w:rFonts w:eastAsia="GOSTTypeB"/>
          <w:lang w:eastAsia="en-US" w:bidi="ar-SA"/>
        </w:rPr>
      </w:pPr>
      <w:r>
        <w:rPr>
          <w:rFonts w:eastAsia="GOSTTypeB"/>
          <w:lang w:eastAsia="en-US" w:bidi="ar-SA"/>
        </w:rPr>
        <w:t>Количество конструкций сборных железобетонных применять по проекту (фактическому значению), без учета нормы расхода</w:t>
      </w:r>
      <w:r>
        <w:rPr/>
        <w:t xml:space="preserve"> материалов.</w:t>
      </w:r>
    </w:p>
    <w:p>
      <w:pPr>
        <w:pStyle w:val="BodyText"/>
        <w:numPr>
          <w:ilvl w:val="0"/>
          <w:numId w:val="1"/>
        </w:numPr>
        <w:spacing w:lineRule="auto" w:line="276"/>
        <w:ind w:firstLine="708" w:left="0"/>
        <w:jc w:val="both"/>
        <w:rPr>
          <w:rFonts w:eastAsia="GOSTTypeB"/>
          <w:lang w:eastAsia="en-US" w:bidi="ar-SA"/>
        </w:rPr>
      </w:pPr>
      <w:r>
        <w:rPr/>
        <w:t>При подсчете объемов работ на армирование кладки стен и армопояса, расход арматуры применять по проекту.</w:t>
      </w:r>
    </w:p>
    <w:p>
      <w:pPr>
        <w:pStyle w:val="BodyText"/>
        <w:spacing w:lineRule="auto" w:line="276"/>
        <w:jc w:val="both"/>
        <w:rPr/>
      </w:pPr>
      <w:r>
        <w:rPr/>
      </w:r>
    </w:p>
    <w:p>
      <w:pPr>
        <w:pStyle w:val="Normal"/>
        <w:tabs>
          <w:tab w:val="clear" w:pos="708"/>
          <w:tab w:val="left" w:pos="1843" w:leader="none"/>
        </w:tabs>
        <w:spacing w:lineRule="auto" w:line="276"/>
        <w:jc w:val="center"/>
        <w:rPr>
          <w:b/>
          <w:sz w:val="24"/>
          <w:szCs w:val="24"/>
          <w:lang w:eastAsia="en-US" w:bidi="ar-SA"/>
        </w:rPr>
      </w:pPr>
      <w:r>
        <w:rPr>
          <w:b/>
          <w:sz w:val="24"/>
          <w:szCs w:val="24"/>
          <w:lang w:eastAsia="en-US" w:bidi="ar-SA"/>
        </w:rPr>
        <w:t>Общие указания</w:t>
      </w:r>
    </w:p>
    <w:p>
      <w:pPr>
        <w:pStyle w:val="Normal"/>
        <w:spacing w:lineRule="auto" w:line="276" w:before="156" w:after="0"/>
        <w:ind w:firstLine="709" w:right="135"/>
        <w:jc w:val="both"/>
        <w:rPr>
          <w:sz w:val="24"/>
          <w:szCs w:val="24"/>
          <w:lang w:eastAsia="en-US" w:bidi="ar-SA"/>
        </w:rPr>
      </w:pPr>
      <w:r>
        <w:rPr>
          <w:sz w:val="24"/>
          <w:szCs w:val="24"/>
          <w:lang w:eastAsia="en-US" w:bidi="ar-SA"/>
        </w:rPr>
        <w:t>Здание Общественного центра запроектировано</w:t>
      </w:r>
      <w:r>
        <w:rPr>
          <w:spacing w:val="1"/>
          <w:sz w:val="24"/>
          <w:szCs w:val="24"/>
          <w:lang w:eastAsia="en-US" w:bidi="ar-SA"/>
        </w:rPr>
        <w:t xml:space="preserve"> </w:t>
      </w:r>
      <w:r>
        <w:rPr>
          <w:sz w:val="24"/>
          <w:szCs w:val="24"/>
          <w:lang w:eastAsia="en-US" w:bidi="ar-SA"/>
        </w:rPr>
        <w:t>в</w:t>
      </w:r>
      <w:r>
        <w:rPr>
          <w:spacing w:val="1"/>
          <w:sz w:val="24"/>
          <w:szCs w:val="24"/>
          <w:lang w:eastAsia="en-US" w:bidi="ar-SA"/>
        </w:rPr>
        <w:t xml:space="preserve"> </w:t>
      </w:r>
      <w:r>
        <w:rPr>
          <w:sz w:val="24"/>
          <w:szCs w:val="24"/>
          <w:lang w:eastAsia="en-US" w:bidi="ar-SA"/>
        </w:rPr>
        <w:t>кирпичном</w:t>
      </w:r>
      <w:r>
        <w:rPr>
          <w:spacing w:val="1"/>
          <w:sz w:val="24"/>
          <w:szCs w:val="24"/>
          <w:lang w:eastAsia="en-US" w:bidi="ar-SA"/>
        </w:rPr>
        <w:t xml:space="preserve"> </w:t>
      </w:r>
      <w:r>
        <w:rPr>
          <w:sz w:val="24"/>
          <w:szCs w:val="24"/>
          <w:lang w:eastAsia="en-US" w:bidi="ar-SA"/>
        </w:rPr>
        <w:t>исполнении. Пространственная жесткость и устойчивость здания обеспечивается</w:t>
      </w:r>
      <w:r>
        <w:rPr>
          <w:spacing w:val="-67"/>
          <w:sz w:val="24"/>
          <w:szCs w:val="24"/>
          <w:lang w:eastAsia="en-US" w:bidi="ar-SA"/>
        </w:rPr>
        <w:t xml:space="preserve"> </w:t>
      </w:r>
      <w:r>
        <w:rPr>
          <w:sz w:val="24"/>
          <w:szCs w:val="24"/>
          <w:lang w:eastAsia="en-US" w:bidi="ar-SA"/>
        </w:rPr>
        <w:t>совместной работой продольных и поперечных несущих стен, жесткого диска</w:t>
      </w:r>
      <w:r>
        <w:rPr>
          <w:spacing w:val="1"/>
          <w:sz w:val="24"/>
          <w:szCs w:val="24"/>
          <w:lang w:eastAsia="en-US" w:bidi="ar-SA"/>
        </w:rPr>
        <w:t xml:space="preserve"> </w:t>
      </w:r>
      <w:r>
        <w:rPr>
          <w:sz w:val="24"/>
          <w:szCs w:val="24"/>
          <w:lang w:eastAsia="en-US" w:bidi="ar-SA"/>
        </w:rPr>
        <w:t>перекрытия</w:t>
      </w:r>
      <w:r>
        <w:rPr>
          <w:spacing w:val="-3"/>
          <w:sz w:val="24"/>
          <w:szCs w:val="24"/>
          <w:lang w:eastAsia="en-US" w:bidi="ar-SA"/>
        </w:rPr>
        <w:t xml:space="preserve"> </w:t>
      </w:r>
      <w:r>
        <w:rPr>
          <w:sz w:val="24"/>
          <w:szCs w:val="24"/>
          <w:lang w:eastAsia="en-US" w:bidi="ar-SA"/>
        </w:rPr>
        <w:t>и фундаментов</w:t>
      </w:r>
      <w:r>
        <w:rPr>
          <w:spacing w:val="-2"/>
          <w:sz w:val="24"/>
          <w:szCs w:val="24"/>
          <w:lang w:eastAsia="en-US" w:bidi="ar-SA"/>
        </w:rPr>
        <w:t xml:space="preserve"> </w:t>
      </w:r>
      <w:r>
        <w:rPr>
          <w:sz w:val="24"/>
          <w:szCs w:val="24"/>
          <w:lang w:eastAsia="en-US" w:bidi="ar-SA"/>
        </w:rPr>
        <w:t>на естественном</w:t>
      </w:r>
      <w:r>
        <w:rPr>
          <w:spacing w:val="-3"/>
          <w:sz w:val="24"/>
          <w:szCs w:val="24"/>
          <w:lang w:eastAsia="en-US" w:bidi="ar-SA"/>
        </w:rPr>
        <w:t xml:space="preserve"> </w:t>
      </w:r>
      <w:r>
        <w:rPr>
          <w:sz w:val="24"/>
          <w:szCs w:val="24"/>
          <w:lang w:eastAsia="en-US" w:bidi="ar-SA"/>
        </w:rPr>
        <w:t>основании.</w:t>
      </w:r>
    </w:p>
    <w:p>
      <w:pPr>
        <w:pStyle w:val="Normal"/>
        <w:spacing w:lineRule="auto" w:line="276"/>
        <w:ind w:firstLine="709" w:right="135"/>
        <w:jc w:val="both"/>
        <w:rPr>
          <w:sz w:val="24"/>
          <w:szCs w:val="24"/>
          <w:lang w:eastAsia="en-US" w:bidi="ar-SA"/>
        </w:rPr>
      </w:pPr>
      <w:r>
        <w:rPr>
          <w:sz w:val="24"/>
          <w:szCs w:val="24"/>
          <w:lang w:eastAsia="en-US" w:bidi="ar-SA"/>
        </w:rPr>
        <w:t>Наружные</w:t>
      </w:r>
      <w:r>
        <w:rPr>
          <w:spacing w:val="1"/>
          <w:sz w:val="24"/>
          <w:szCs w:val="24"/>
          <w:lang w:eastAsia="en-US" w:bidi="ar-SA"/>
        </w:rPr>
        <w:t xml:space="preserve"> </w:t>
      </w:r>
      <w:r>
        <w:rPr>
          <w:sz w:val="24"/>
          <w:szCs w:val="24"/>
          <w:lang w:eastAsia="en-US" w:bidi="ar-SA"/>
        </w:rPr>
        <w:t>стены:</w:t>
      </w:r>
      <w:r>
        <w:rPr>
          <w:spacing w:val="1"/>
          <w:sz w:val="24"/>
          <w:szCs w:val="24"/>
          <w:lang w:eastAsia="en-US" w:bidi="ar-SA"/>
        </w:rPr>
        <w:t xml:space="preserve"> </w:t>
      </w:r>
      <w:r>
        <w:rPr>
          <w:sz w:val="24"/>
          <w:szCs w:val="24"/>
          <w:lang w:eastAsia="en-US" w:bidi="ar-SA"/>
        </w:rPr>
        <w:t>кирпичные,</w:t>
      </w:r>
      <w:r>
        <w:rPr>
          <w:spacing w:val="1"/>
          <w:sz w:val="24"/>
          <w:szCs w:val="24"/>
          <w:lang w:eastAsia="en-US" w:bidi="ar-SA"/>
        </w:rPr>
        <w:t xml:space="preserve"> </w:t>
      </w:r>
      <w:r>
        <w:rPr>
          <w:sz w:val="24"/>
          <w:szCs w:val="24"/>
          <w:lang w:eastAsia="en-US" w:bidi="ar-SA"/>
        </w:rPr>
        <w:t>слоистой</w:t>
      </w:r>
      <w:r>
        <w:rPr>
          <w:spacing w:val="1"/>
          <w:sz w:val="24"/>
          <w:szCs w:val="24"/>
          <w:lang w:eastAsia="en-US" w:bidi="ar-SA"/>
        </w:rPr>
        <w:t xml:space="preserve"> </w:t>
      </w:r>
      <w:r>
        <w:rPr>
          <w:sz w:val="24"/>
          <w:szCs w:val="24"/>
          <w:lang w:eastAsia="en-US" w:bidi="ar-SA"/>
        </w:rPr>
        <w:t>кладки -</w:t>
      </w:r>
      <w:r>
        <w:rPr>
          <w:spacing w:val="1"/>
          <w:sz w:val="24"/>
          <w:szCs w:val="24"/>
          <w:lang w:eastAsia="en-US" w:bidi="ar-SA"/>
        </w:rPr>
        <w:t xml:space="preserve"> </w:t>
      </w:r>
      <w:r>
        <w:rPr>
          <w:sz w:val="24"/>
          <w:szCs w:val="24"/>
          <w:lang w:eastAsia="en-US" w:bidi="ar-SA"/>
        </w:rPr>
        <w:t>внутренний</w:t>
      </w:r>
      <w:r>
        <w:rPr>
          <w:spacing w:val="1"/>
          <w:sz w:val="24"/>
          <w:szCs w:val="24"/>
          <w:lang w:eastAsia="en-US" w:bidi="ar-SA"/>
        </w:rPr>
        <w:t xml:space="preserve"> </w:t>
      </w:r>
      <w:r>
        <w:rPr>
          <w:sz w:val="24"/>
          <w:szCs w:val="24"/>
          <w:lang w:eastAsia="en-US" w:bidi="ar-SA"/>
        </w:rPr>
        <w:t>слой</w:t>
      </w:r>
      <w:r>
        <w:rPr>
          <w:spacing w:val="1"/>
          <w:sz w:val="24"/>
          <w:szCs w:val="24"/>
          <w:lang w:eastAsia="en-US" w:bidi="ar-SA"/>
        </w:rPr>
        <w:t xml:space="preserve"> </w:t>
      </w:r>
      <w:r>
        <w:rPr>
          <w:sz w:val="24"/>
          <w:szCs w:val="24"/>
          <w:lang w:eastAsia="en-US" w:bidi="ar-SA"/>
        </w:rPr>
        <w:t>толщиной</w:t>
      </w:r>
      <w:r>
        <w:rPr>
          <w:spacing w:val="1"/>
          <w:sz w:val="24"/>
          <w:szCs w:val="24"/>
          <w:lang w:eastAsia="en-US" w:bidi="ar-SA"/>
        </w:rPr>
        <w:t xml:space="preserve"> </w:t>
      </w:r>
      <w:r>
        <w:rPr>
          <w:sz w:val="24"/>
          <w:szCs w:val="24"/>
          <w:lang w:eastAsia="en-US" w:bidi="ar-SA"/>
        </w:rPr>
        <w:t>380</w:t>
      </w:r>
      <w:r>
        <w:rPr>
          <w:spacing w:val="1"/>
          <w:sz w:val="24"/>
          <w:szCs w:val="24"/>
          <w:lang w:eastAsia="en-US" w:bidi="ar-SA"/>
        </w:rPr>
        <w:t xml:space="preserve"> </w:t>
      </w:r>
      <w:r>
        <w:rPr>
          <w:sz w:val="24"/>
          <w:szCs w:val="24"/>
          <w:lang w:eastAsia="en-US" w:bidi="ar-SA"/>
        </w:rPr>
        <w:t>мм,</w:t>
      </w:r>
      <w:r>
        <w:rPr>
          <w:spacing w:val="1"/>
          <w:sz w:val="24"/>
          <w:szCs w:val="24"/>
          <w:lang w:eastAsia="en-US" w:bidi="ar-SA"/>
        </w:rPr>
        <w:t xml:space="preserve"> </w:t>
      </w:r>
      <w:r>
        <w:rPr>
          <w:sz w:val="24"/>
          <w:szCs w:val="24"/>
          <w:lang w:eastAsia="en-US" w:bidi="ar-SA"/>
        </w:rPr>
        <w:t>утеплитель</w:t>
      </w:r>
      <w:r>
        <w:rPr>
          <w:spacing w:val="1"/>
          <w:sz w:val="24"/>
          <w:szCs w:val="24"/>
          <w:lang w:eastAsia="en-US" w:bidi="ar-SA"/>
        </w:rPr>
        <w:t xml:space="preserve"> </w:t>
      </w:r>
      <w:r>
        <w:rPr>
          <w:sz w:val="24"/>
          <w:szCs w:val="24"/>
          <w:lang w:eastAsia="en-US" w:bidi="ar-SA"/>
        </w:rPr>
        <w:t>80мм,</w:t>
      </w:r>
      <w:r>
        <w:rPr>
          <w:spacing w:val="1"/>
          <w:sz w:val="24"/>
          <w:szCs w:val="24"/>
          <w:lang w:eastAsia="en-US" w:bidi="ar-SA"/>
        </w:rPr>
        <w:t xml:space="preserve"> </w:t>
      </w:r>
      <w:r>
        <w:rPr>
          <w:sz w:val="24"/>
          <w:szCs w:val="24"/>
          <w:lang w:eastAsia="en-US" w:bidi="ar-SA"/>
        </w:rPr>
        <w:t>воздушный</w:t>
      </w:r>
      <w:r>
        <w:rPr>
          <w:spacing w:val="1"/>
          <w:sz w:val="24"/>
          <w:szCs w:val="24"/>
          <w:lang w:eastAsia="en-US" w:bidi="ar-SA"/>
        </w:rPr>
        <w:t xml:space="preserve"> </w:t>
      </w:r>
      <w:r>
        <w:rPr>
          <w:sz w:val="24"/>
          <w:szCs w:val="24"/>
          <w:lang w:eastAsia="en-US" w:bidi="ar-SA"/>
        </w:rPr>
        <w:t>зазор</w:t>
      </w:r>
      <w:r>
        <w:rPr>
          <w:spacing w:val="1"/>
          <w:sz w:val="24"/>
          <w:szCs w:val="24"/>
          <w:lang w:eastAsia="en-US" w:bidi="ar-SA"/>
        </w:rPr>
        <w:t xml:space="preserve"> </w:t>
      </w:r>
      <w:r>
        <w:rPr>
          <w:sz w:val="24"/>
          <w:szCs w:val="24"/>
          <w:lang w:eastAsia="en-US" w:bidi="ar-SA"/>
        </w:rPr>
        <w:t>20мм</w:t>
      </w:r>
      <w:r>
        <w:rPr>
          <w:spacing w:val="1"/>
          <w:sz w:val="24"/>
          <w:szCs w:val="24"/>
          <w:lang w:eastAsia="en-US" w:bidi="ar-SA"/>
        </w:rPr>
        <w:t xml:space="preserve"> </w:t>
      </w:r>
      <w:r>
        <w:rPr>
          <w:sz w:val="24"/>
          <w:szCs w:val="24"/>
          <w:lang w:eastAsia="en-US" w:bidi="ar-SA"/>
        </w:rPr>
        <w:t>и</w:t>
      </w:r>
      <w:r>
        <w:rPr>
          <w:spacing w:val="1"/>
          <w:sz w:val="24"/>
          <w:szCs w:val="24"/>
          <w:lang w:eastAsia="en-US" w:bidi="ar-SA"/>
        </w:rPr>
        <w:t xml:space="preserve"> </w:t>
      </w:r>
      <w:r>
        <w:rPr>
          <w:sz w:val="24"/>
          <w:szCs w:val="24"/>
          <w:lang w:eastAsia="en-US" w:bidi="ar-SA"/>
        </w:rPr>
        <w:t>наружный</w:t>
      </w:r>
      <w:r>
        <w:rPr>
          <w:spacing w:val="1"/>
          <w:sz w:val="24"/>
          <w:szCs w:val="24"/>
          <w:lang w:eastAsia="en-US" w:bidi="ar-SA"/>
        </w:rPr>
        <w:t xml:space="preserve"> </w:t>
      </w:r>
      <w:r>
        <w:rPr>
          <w:sz w:val="24"/>
          <w:szCs w:val="24"/>
          <w:lang w:eastAsia="en-US" w:bidi="ar-SA"/>
        </w:rPr>
        <w:t>облицовочный</w:t>
      </w:r>
      <w:r>
        <w:rPr>
          <w:spacing w:val="-4"/>
          <w:sz w:val="24"/>
          <w:szCs w:val="24"/>
          <w:lang w:eastAsia="en-US" w:bidi="ar-SA"/>
        </w:rPr>
        <w:t xml:space="preserve"> </w:t>
      </w:r>
      <w:r>
        <w:rPr>
          <w:sz w:val="24"/>
          <w:szCs w:val="24"/>
          <w:lang w:eastAsia="en-US" w:bidi="ar-SA"/>
        </w:rPr>
        <w:t>слой</w:t>
      </w:r>
      <w:r>
        <w:rPr>
          <w:spacing w:val="-2"/>
          <w:sz w:val="24"/>
          <w:szCs w:val="24"/>
          <w:lang w:eastAsia="en-US" w:bidi="ar-SA"/>
        </w:rPr>
        <w:t xml:space="preserve"> </w:t>
      </w:r>
      <w:r>
        <w:rPr>
          <w:sz w:val="24"/>
          <w:szCs w:val="24"/>
          <w:lang w:eastAsia="en-US" w:bidi="ar-SA"/>
        </w:rPr>
        <w:t>120мм.</w:t>
      </w:r>
    </w:p>
    <w:p>
      <w:pPr>
        <w:pStyle w:val="Normal"/>
        <w:spacing w:lineRule="auto" w:line="276"/>
        <w:ind w:firstLine="709"/>
        <w:jc w:val="both"/>
        <w:rPr>
          <w:sz w:val="24"/>
          <w:szCs w:val="24"/>
          <w:lang w:eastAsia="en-US" w:bidi="ar-SA"/>
        </w:rPr>
      </w:pPr>
      <w:r>
        <w:rPr>
          <w:sz w:val="24"/>
          <w:szCs w:val="24"/>
          <w:lang w:eastAsia="en-US" w:bidi="ar-SA"/>
        </w:rPr>
        <w:t>Конструктивная</w:t>
      </w:r>
      <w:r>
        <w:rPr>
          <w:spacing w:val="5"/>
          <w:sz w:val="24"/>
          <w:szCs w:val="24"/>
          <w:lang w:eastAsia="en-US" w:bidi="ar-SA"/>
        </w:rPr>
        <w:t xml:space="preserve"> </w:t>
      </w:r>
      <w:r>
        <w:rPr>
          <w:sz w:val="24"/>
          <w:szCs w:val="24"/>
          <w:lang w:eastAsia="en-US" w:bidi="ar-SA"/>
        </w:rPr>
        <w:t>схема</w:t>
      </w:r>
      <w:r>
        <w:rPr>
          <w:spacing w:val="5"/>
          <w:sz w:val="24"/>
          <w:szCs w:val="24"/>
          <w:lang w:eastAsia="en-US" w:bidi="ar-SA"/>
        </w:rPr>
        <w:t xml:space="preserve"> </w:t>
      </w:r>
      <w:r>
        <w:rPr>
          <w:sz w:val="24"/>
          <w:szCs w:val="24"/>
          <w:lang w:eastAsia="en-US" w:bidi="ar-SA"/>
        </w:rPr>
        <w:t>здания</w:t>
      </w:r>
      <w:r>
        <w:rPr>
          <w:spacing w:val="5"/>
          <w:sz w:val="24"/>
          <w:szCs w:val="24"/>
          <w:lang w:eastAsia="en-US" w:bidi="ar-SA"/>
        </w:rPr>
        <w:t xml:space="preserve"> </w:t>
      </w:r>
      <w:r>
        <w:rPr>
          <w:sz w:val="24"/>
          <w:szCs w:val="24"/>
          <w:lang w:eastAsia="en-US" w:bidi="ar-SA"/>
        </w:rPr>
        <w:t>–</w:t>
      </w:r>
      <w:r>
        <w:rPr>
          <w:spacing w:val="6"/>
          <w:sz w:val="24"/>
          <w:szCs w:val="24"/>
          <w:lang w:eastAsia="en-US" w:bidi="ar-SA"/>
        </w:rPr>
        <w:t xml:space="preserve"> </w:t>
      </w:r>
      <w:r>
        <w:rPr>
          <w:sz w:val="24"/>
          <w:szCs w:val="24"/>
          <w:lang w:eastAsia="en-US" w:bidi="ar-SA"/>
        </w:rPr>
        <w:t>смешанного</w:t>
      </w:r>
      <w:r>
        <w:rPr>
          <w:spacing w:val="5"/>
          <w:sz w:val="24"/>
          <w:szCs w:val="24"/>
          <w:lang w:eastAsia="en-US" w:bidi="ar-SA"/>
        </w:rPr>
        <w:t xml:space="preserve"> </w:t>
      </w:r>
      <w:r>
        <w:rPr>
          <w:sz w:val="24"/>
          <w:szCs w:val="24"/>
          <w:lang w:eastAsia="en-US" w:bidi="ar-SA"/>
        </w:rPr>
        <w:t>типа.</w:t>
      </w:r>
      <w:r>
        <w:rPr>
          <w:spacing w:val="6"/>
          <w:sz w:val="24"/>
          <w:szCs w:val="24"/>
          <w:lang w:eastAsia="en-US" w:bidi="ar-SA"/>
        </w:rPr>
        <w:t xml:space="preserve"> </w:t>
      </w:r>
      <w:r>
        <w:rPr>
          <w:sz w:val="24"/>
          <w:szCs w:val="24"/>
          <w:lang w:eastAsia="en-US" w:bidi="ar-SA"/>
        </w:rPr>
        <w:t>Здание</w:t>
      </w:r>
      <w:r>
        <w:rPr>
          <w:spacing w:val="6"/>
          <w:sz w:val="24"/>
          <w:szCs w:val="24"/>
          <w:lang w:eastAsia="en-US" w:bidi="ar-SA"/>
        </w:rPr>
        <w:t xml:space="preserve"> </w:t>
      </w:r>
      <w:r>
        <w:rPr>
          <w:sz w:val="24"/>
          <w:szCs w:val="24"/>
          <w:lang w:eastAsia="en-US" w:bidi="ar-SA"/>
        </w:rPr>
        <w:t>выполнено</w:t>
      </w:r>
      <w:r>
        <w:rPr>
          <w:spacing w:val="4"/>
          <w:sz w:val="24"/>
          <w:szCs w:val="24"/>
          <w:lang w:eastAsia="en-US" w:bidi="ar-SA"/>
        </w:rPr>
        <w:t xml:space="preserve"> </w:t>
      </w:r>
      <w:r>
        <w:rPr>
          <w:sz w:val="24"/>
          <w:szCs w:val="24"/>
          <w:lang w:eastAsia="en-US" w:bidi="ar-SA"/>
        </w:rPr>
        <w:t>из</w:t>
      </w:r>
      <w:r>
        <w:rPr>
          <w:spacing w:val="-67"/>
          <w:sz w:val="24"/>
          <w:szCs w:val="24"/>
          <w:lang w:eastAsia="en-US" w:bidi="ar-SA"/>
        </w:rPr>
        <w:t xml:space="preserve"> </w:t>
      </w:r>
      <w:r>
        <w:rPr>
          <w:sz w:val="24"/>
          <w:szCs w:val="24"/>
          <w:lang w:eastAsia="en-US" w:bidi="ar-SA"/>
        </w:rPr>
        <w:t>кирпичных колонн,</w:t>
      </w:r>
      <w:r>
        <w:rPr>
          <w:spacing w:val="-5"/>
          <w:sz w:val="24"/>
          <w:szCs w:val="24"/>
          <w:lang w:eastAsia="en-US" w:bidi="ar-SA"/>
        </w:rPr>
        <w:t xml:space="preserve"> </w:t>
      </w:r>
      <w:r>
        <w:rPr>
          <w:sz w:val="24"/>
          <w:szCs w:val="24"/>
          <w:lang w:eastAsia="en-US" w:bidi="ar-SA"/>
        </w:rPr>
        <w:t>железобетонных сборных</w:t>
      </w:r>
      <w:r>
        <w:rPr>
          <w:spacing w:val="-4"/>
          <w:sz w:val="24"/>
          <w:szCs w:val="24"/>
          <w:lang w:eastAsia="en-US" w:bidi="ar-SA"/>
        </w:rPr>
        <w:t xml:space="preserve"> </w:t>
      </w:r>
      <w:r>
        <w:rPr>
          <w:sz w:val="24"/>
          <w:szCs w:val="24"/>
          <w:lang w:eastAsia="en-US" w:bidi="ar-SA"/>
        </w:rPr>
        <w:t>балок,</w:t>
      </w:r>
      <w:r>
        <w:rPr>
          <w:spacing w:val="-1"/>
          <w:sz w:val="24"/>
          <w:szCs w:val="24"/>
          <w:lang w:eastAsia="en-US" w:bidi="ar-SA"/>
        </w:rPr>
        <w:t xml:space="preserve"> </w:t>
      </w:r>
      <w:r>
        <w:rPr>
          <w:sz w:val="24"/>
          <w:szCs w:val="24"/>
          <w:lang w:eastAsia="en-US" w:bidi="ar-SA"/>
        </w:rPr>
        <w:t>кирпичных стен.</w:t>
      </w:r>
    </w:p>
    <w:p>
      <w:pPr>
        <w:pStyle w:val="Normal"/>
        <w:spacing w:lineRule="auto" w:line="276"/>
        <w:ind w:firstLine="709"/>
        <w:jc w:val="both"/>
        <w:rPr>
          <w:sz w:val="24"/>
          <w:szCs w:val="24"/>
          <w:lang w:eastAsia="en-US" w:bidi="ar-SA"/>
        </w:rPr>
      </w:pPr>
      <w:r>
        <w:rPr>
          <w:sz w:val="24"/>
          <w:szCs w:val="24"/>
          <w:lang w:eastAsia="en-US" w:bidi="ar-SA"/>
        </w:rPr>
        <w:t>Фундаменты здания – железобетонные сборные на естественном основании – по периметру здания фундаментные блоки на щебеночной и песчаной подсыпке по 100мм.</w:t>
      </w:r>
    </w:p>
    <w:p>
      <w:pPr>
        <w:pStyle w:val="Normal"/>
        <w:spacing w:lineRule="auto" w:line="276"/>
        <w:ind w:firstLine="709"/>
        <w:jc w:val="both"/>
        <w:rPr>
          <w:sz w:val="24"/>
          <w:szCs w:val="24"/>
          <w:lang w:eastAsia="en-US" w:bidi="ar-SA"/>
        </w:rPr>
      </w:pPr>
      <w:r>
        <w:rPr>
          <w:sz w:val="24"/>
          <w:szCs w:val="24"/>
          <w:lang w:eastAsia="en-US" w:bidi="ar-SA"/>
        </w:rPr>
        <w:t>Наружные стены и перегородки – кирпичные.</w:t>
      </w:r>
    </w:p>
    <w:p>
      <w:pPr>
        <w:pStyle w:val="Normal"/>
        <w:spacing w:lineRule="auto" w:line="276"/>
        <w:ind w:firstLine="709"/>
        <w:jc w:val="both"/>
        <w:rPr>
          <w:sz w:val="24"/>
          <w:szCs w:val="24"/>
          <w:lang w:eastAsia="en-US" w:bidi="ar-SA"/>
        </w:rPr>
      </w:pPr>
      <w:r>
        <w:rPr>
          <w:sz w:val="24"/>
          <w:szCs w:val="24"/>
          <w:lang w:eastAsia="en-US" w:bidi="ar-SA"/>
        </w:rPr>
        <w:t>Крыша - чердачная</w:t>
        <w:tab/>
        <w:t>(с холодным</w:t>
        <w:tab/>
        <w:t>чердаком), скатная, с деревянными стропилами.</w:t>
      </w:r>
    </w:p>
    <w:p>
      <w:pPr>
        <w:pStyle w:val="Normal"/>
        <w:widowControl/>
        <w:spacing w:lineRule="auto" w:line="276"/>
        <w:ind w:firstLine="709"/>
        <w:jc w:val="center"/>
        <w:rPr>
          <w:b/>
          <w:sz w:val="24"/>
          <w:szCs w:val="24"/>
          <w:lang w:bidi="ar-SA"/>
        </w:rPr>
      </w:pPr>
      <w:r>
        <w:rPr>
          <w:b/>
          <w:sz w:val="24"/>
          <w:szCs w:val="24"/>
          <w:lang w:bidi="ar-SA"/>
        </w:rPr>
      </w:r>
    </w:p>
    <w:p>
      <w:pPr>
        <w:pStyle w:val="NormalWeb"/>
        <w:spacing w:lineRule="auto" w:line="276" w:beforeAutospacing="0" w:before="0" w:afterAutospacing="0" w:after="0"/>
        <w:jc w:val="center"/>
        <w:rPr>
          <w:b/>
        </w:rPr>
      </w:pPr>
      <w:r>
        <w:rPr>
          <w:b/>
        </w:rPr>
        <w:t>Фундаменты</w:t>
      </w:r>
    </w:p>
    <w:p>
      <w:pPr>
        <w:pStyle w:val="BodyText"/>
        <w:spacing w:lineRule="auto" w:line="276"/>
        <w:ind w:firstLine="709" w:right="266"/>
        <w:jc w:val="both"/>
        <w:rPr>
          <w:rFonts w:eastAsia="GOSTTypeB"/>
          <w:lang w:eastAsia="en-US" w:bidi="ar-SA"/>
        </w:rPr>
      </w:pPr>
      <w:r>
        <w:rPr>
          <w:rFonts w:eastAsia="GOSTTypeB"/>
          <w:lang w:eastAsia="en-US" w:bidi="ar-SA"/>
        </w:rPr>
        <w:t>Фундаментные плиты укладывают на выровненное основание или тщательно утрамбованную щебеночную и песчаную подготовку, для которой используют песок природный обогащенный для строительных работ средний и щебень М800 фракции 20-80 (70) мм.</w:t>
      </w:r>
    </w:p>
    <w:p>
      <w:pPr>
        <w:pStyle w:val="BodyText"/>
        <w:spacing w:lineRule="auto" w:line="276"/>
        <w:ind w:firstLine="709" w:right="266"/>
        <w:jc w:val="both"/>
        <w:rPr>
          <w:rFonts w:eastAsia="GOSTTypeB"/>
          <w:lang w:eastAsia="en-US" w:bidi="ar-SA"/>
        </w:rPr>
      </w:pPr>
      <w:r>
        <w:rPr>
          <w:rFonts w:eastAsia="GOSTTypeB"/>
          <w:lang w:eastAsia="en-US" w:bidi="ar-SA"/>
        </w:rPr>
        <w:t>Ленточный фундамент собирают из плит и блоков и устраивают под несущими и самонесущими стенами.</w:t>
      </w:r>
    </w:p>
    <w:p>
      <w:pPr>
        <w:pStyle w:val="BodyText"/>
        <w:spacing w:lineRule="auto" w:line="276"/>
        <w:ind w:firstLine="709" w:right="266"/>
        <w:jc w:val="both"/>
        <w:rPr>
          <w:rFonts w:eastAsia="GOSTTypeB"/>
          <w:lang w:eastAsia="en-US" w:bidi="ar-SA"/>
        </w:rPr>
      </w:pPr>
      <w:r>
        <w:rPr>
          <w:rFonts w:eastAsia="GOSTTypeB"/>
          <w:lang w:eastAsia="en-US" w:bidi="ar-SA"/>
        </w:rPr>
        <w:t>Блоки укладывают на растворе с обязательной перевязкой вертикальных швов, толщина которых составляет 20 мм.</w:t>
      </w:r>
    </w:p>
    <w:p>
      <w:pPr>
        <w:pStyle w:val="BodyText"/>
        <w:spacing w:lineRule="auto" w:line="276"/>
        <w:ind w:firstLine="709" w:right="266"/>
        <w:jc w:val="both"/>
        <w:rPr>
          <w:rFonts w:eastAsia="GOSTTypeB"/>
          <w:lang w:eastAsia="en-US" w:bidi="ar-SA"/>
        </w:rPr>
      </w:pPr>
      <w:r>
        <w:rPr>
          <w:rFonts w:eastAsia="GOSTTypeB"/>
          <w:lang w:eastAsia="en-US" w:bidi="ar-SA"/>
        </w:rPr>
        <w:t>Монолитные (участки) заполнены смесью бетонной тяжелого бетона класса В15 (</w:t>
      </w:r>
      <w:r>
        <w:rPr>
          <w:rFonts w:eastAsia="GOSTTypeB"/>
          <w:lang w:val="en-US" w:eastAsia="en-US" w:bidi="ar-SA"/>
        </w:rPr>
        <w:t>M</w:t>
      </w:r>
      <w:r>
        <w:rPr>
          <w:rFonts w:eastAsia="GOSTTypeB"/>
          <w:lang w:eastAsia="en-US" w:bidi="ar-SA"/>
        </w:rPr>
        <w:t>200).</w:t>
      </w:r>
    </w:p>
    <w:p>
      <w:pPr>
        <w:pStyle w:val="BodyText"/>
        <w:spacing w:lineRule="auto" w:line="276"/>
        <w:ind w:firstLine="709" w:right="266"/>
        <w:jc w:val="both"/>
        <w:rPr>
          <w:rFonts w:eastAsia="GOSTTypeB"/>
          <w:lang w:eastAsia="en-US" w:bidi="ar-SA"/>
        </w:rPr>
      </w:pPr>
      <w:r>
        <w:rPr/>
        <w:t xml:space="preserve">Под перекрытием на отм. -0,440 предусмотрен арматурный пояс из продольной арматуры </w:t>
      </w:r>
      <w:r>
        <w:rPr>
          <w:rFonts w:cs="Cambria Math" w:ascii="Cambria Math" w:hAnsi="Cambria Math"/>
        </w:rPr>
        <w:t>∅</w:t>
      </w:r>
      <w:r>
        <w:rPr/>
        <w:t xml:space="preserve">10А400, поперечной </w:t>
      </w:r>
      <w:r>
        <w:rPr>
          <w:rFonts w:cs="Cambria Math" w:ascii="Cambria Math" w:hAnsi="Cambria Math"/>
        </w:rPr>
        <w:t>∅</w:t>
      </w:r>
      <w:r>
        <w:rPr/>
        <w:t>4 Вр</w:t>
      </w:r>
      <w:r>
        <w:rPr>
          <w:lang w:val="en-US"/>
        </w:rPr>
        <w:t>I</w:t>
      </w:r>
      <w:r>
        <w:rPr/>
        <w:t xml:space="preserve"> </w:t>
      </w:r>
      <w:r>
        <w:rPr>
          <w:lang w:val="en-US"/>
        </w:rPr>
        <w:t>l</w:t>
      </w:r>
      <w:r>
        <w:rPr/>
        <w:t>=380 мм с шагом 400 мм в слое смеси тяжелого бетона класса В15 (М200).</w:t>
      </w:r>
    </w:p>
    <w:p>
      <w:pPr>
        <w:pStyle w:val="Normal"/>
        <w:spacing w:lineRule="auto" w:line="276"/>
        <w:ind w:firstLine="709" w:right="284"/>
        <w:jc w:val="both"/>
        <w:rPr>
          <w:sz w:val="24"/>
          <w:szCs w:val="24"/>
        </w:rPr>
      </w:pPr>
      <w:r>
        <w:rPr>
          <w:sz w:val="24"/>
          <w:szCs w:val="24"/>
        </w:rPr>
        <w:t>Армопояс (арматурный пояс) – это прочный железобетонный каркас, который позволяет противодействовать трём видам нагрузок: точечным, боковым и на растяжение. В проекте использован армопояс под перекрытием (междуэтажный армопояс, который принимает на себя нагрузку от плит перекрытия и распределяет ее равномерно на несущие стены). Его укладывают по всему периметру, включая внутренние стены - так снижается риск деформации кладки, особенно в местах проемов.</w:t>
      </w:r>
    </w:p>
    <w:p>
      <w:pPr>
        <w:pStyle w:val="Normal"/>
        <w:spacing w:lineRule="auto" w:line="276"/>
        <w:ind w:firstLine="709" w:right="284"/>
        <w:jc w:val="both"/>
        <w:rPr>
          <w:sz w:val="24"/>
          <w:szCs w:val="24"/>
        </w:rPr>
      </w:pPr>
      <w:r>
        <w:rPr>
          <w:sz w:val="24"/>
          <w:szCs w:val="24"/>
        </w:rPr>
        <w:t>Материалы для армопояса приведены в спецификации фундаментных блоков стеновых (см. лист 8).</w:t>
      </w:r>
    </w:p>
    <w:p>
      <w:pPr>
        <w:pStyle w:val="NormalWeb"/>
        <w:spacing w:lineRule="auto" w:line="276" w:beforeAutospacing="0" w:before="0" w:afterAutospacing="0" w:after="0"/>
        <w:ind w:firstLine="709"/>
        <w:rPr/>
      </w:pPr>
      <w:r>
        <w:rPr/>
        <w:t xml:space="preserve">Фундамент утепляют по двум основным причинам: </w:t>
      </w:r>
    </w:p>
    <w:p>
      <w:pPr>
        <w:pStyle w:val="NormalWeb"/>
        <w:spacing w:lineRule="auto" w:line="276" w:beforeAutospacing="0" w:before="0" w:afterAutospacing="0" w:after="0"/>
        <w:ind w:firstLine="709"/>
        <w:rPr/>
      </w:pPr>
      <w:r>
        <w:rPr/>
        <w:t>- для уменьшения глубины промерзания пучинистых грунтов с целью исключения или ослабления воздействия сил морозного пучения грунта на конструкцию фундамента;</w:t>
      </w:r>
    </w:p>
    <w:p>
      <w:pPr>
        <w:pStyle w:val="NormalWeb"/>
        <w:spacing w:lineRule="auto" w:line="276" w:beforeAutospacing="0" w:before="0" w:afterAutospacing="0" w:after="0"/>
        <w:ind w:firstLine="709"/>
        <w:rPr/>
      </w:pPr>
      <w:r>
        <w:rPr/>
        <w:t>- для сокращения общих потерь тепла через подземную часть здания и, в частности, для утепления отапливаемых помещений, расположенных ниже уровня земли (подвалы, цокольные этажи).</w:t>
      </w:r>
    </w:p>
    <w:p>
      <w:pPr>
        <w:pStyle w:val="NormalWeb"/>
        <w:spacing w:lineRule="auto" w:line="276" w:beforeAutospacing="0" w:before="0" w:afterAutospacing="0" w:after="0"/>
        <w:ind w:firstLine="709"/>
        <w:rPr/>
      </w:pPr>
      <w:r>
        <w:rPr/>
        <w:t xml:space="preserve">Фундаменты утеплены ПЕНОПЛЭКС-35 </w:t>
      </w:r>
      <w:r>
        <w:rPr>
          <w:lang w:bidi="ru-RU"/>
        </w:rPr>
        <w:t>(см. узел 2 на листе 3).</w:t>
      </w:r>
    </w:p>
    <w:p>
      <w:pPr>
        <w:pStyle w:val="NormalWeb"/>
        <w:spacing w:lineRule="auto" w:line="276" w:beforeAutospacing="0" w:before="0" w:afterAutospacing="0" w:after="0"/>
        <w:ind w:firstLine="851"/>
        <w:rPr/>
      </w:pPr>
      <w:r>
        <w:rPr/>
      </w:r>
    </w:p>
    <w:p>
      <w:pPr>
        <w:pStyle w:val="BodyText"/>
        <w:spacing w:lineRule="auto" w:line="276"/>
        <w:ind w:firstLine="709" w:right="266"/>
        <w:jc w:val="both"/>
        <w:rPr>
          <w:rFonts w:eastAsia="GOSTTypeB"/>
          <w:u w:val="single"/>
          <w:lang w:eastAsia="en-US" w:bidi="ar-SA"/>
        </w:rPr>
      </w:pPr>
      <w:r>
        <w:rPr>
          <w:rFonts w:eastAsia="GOSTTypeB"/>
          <w:u w:val="single"/>
          <w:lang w:eastAsia="en-US" w:bidi="ar-SA"/>
        </w:rPr>
        <w:t xml:space="preserve">Используемые материалы: </w:t>
      </w:r>
    </w:p>
    <w:p>
      <w:pPr>
        <w:pStyle w:val="BodyText"/>
        <w:spacing w:lineRule="auto" w:line="276"/>
        <w:jc w:val="both"/>
        <w:rPr>
          <w:rFonts w:eastAsia="GOSTTypeB"/>
          <w:lang w:eastAsia="en-US" w:bidi="ar-SA"/>
        </w:rPr>
      </w:pPr>
      <w:r>
        <w:rPr>
          <w:rFonts w:eastAsia="GOSTTypeB"/>
          <w:lang w:eastAsia="en-US" w:bidi="ar-SA"/>
        </w:rPr>
        <w:tab/>
        <w:t>Щебеночная подготовка - щебень фракции 20-80 (70) мм М800.</w:t>
      </w:r>
    </w:p>
    <w:p>
      <w:pPr>
        <w:pStyle w:val="BodyText"/>
        <w:spacing w:lineRule="auto" w:line="276"/>
        <w:ind w:right="266"/>
        <w:jc w:val="both"/>
        <w:rPr>
          <w:rFonts w:eastAsia="GOSTTypeB"/>
          <w:lang w:eastAsia="en-US" w:bidi="ar-SA"/>
        </w:rPr>
      </w:pPr>
      <w:r>
        <w:rPr>
          <w:rFonts w:eastAsia="GOSTTypeB"/>
          <w:lang w:eastAsia="en-US" w:bidi="ar-SA"/>
        </w:rPr>
        <w:tab/>
        <w:t xml:space="preserve">Песчаная подготовка - песок природный обогащенный для строительных работ средний. </w:t>
      </w:r>
    </w:p>
    <w:p>
      <w:pPr>
        <w:pStyle w:val="BodyText"/>
        <w:spacing w:lineRule="auto" w:line="276"/>
        <w:ind w:right="266"/>
        <w:jc w:val="both"/>
        <w:rPr>
          <w:rFonts w:eastAsia="GOSTTypeB"/>
          <w:lang w:eastAsia="en-US" w:bidi="ar-SA"/>
        </w:rPr>
      </w:pPr>
      <w:r>
        <w:rPr>
          <w:rFonts w:eastAsia="GOSTTypeB"/>
          <w:lang w:eastAsia="en-US" w:bidi="ar-SA"/>
        </w:rPr>
        <w:tab/>
        <w:t>Сборные ленточные фундаменты, монтируемые из фундаментных плит ФЛ, фундаментных блоков стеновых ФБС.</w:t>
      </w:r>
    </w:p>
    <w:p>
      <w:pPr>
        <w:pStyle w:val="BodyText"/>
        <w:spacing w:lineRule="auto" w:line="276"/>
        <w:ind w:right="266"/>
        <w:jc w:val="both"/>
        <w:rPr>
          <w:rFonts w:eastAsia="GOSTTypeB"/>
          <w:lang w:eastAsia="en-US" w:bidi="ar-SA"/>
        </w:rPr>
      </w:pPr>
      <w:r>
        <w:rPr>
          <w:rFonts w:eastAsia="GOSTTypeB"/>
          <w:lang w:eastAsia="en-US" w:bidi="ar-SA"/>
        </w:rPr>
        <w:tab/>
        <w:t>Смеси бетонные тяжелого бетона (БСТ), класс В15 (М200).</w:t>
      </w:r>
    </w:p>
    <w:p>
      <w:pPr>
        <w:pStyle w:val="BodyText"/>
        <w:spacing w:lineRule="auto" w:line="276"/>
        <w:ind w:right="266"/>
        <w:jc w:val="both"/>
        <w:rPr>
          <w:rFonts w:eastAsia="GOSTTypeB"/>
          <w:lang w:eastAsia="en-US" w:bidi="ar-SA"/>
        </w:rPr>
      </w:pPr>
      <w:r>
        <w:rPr>
          <w:rFonts w:eastAsia="GOSTTypeB"/>
          <w:lang w:eastAsia="en-US" w:bidi="ar-SA"/>
        </w:rPr>
        <w:tab/>
        <w:t>Плиты теплоизоляционные из экструзионного вспененного полистирола ПЕНОПЛЭКС-35.</w:t>
      </w:r>
    </w:p>
    <w:p>
      <w:pPr>
        <w:pStyle w:val="BodyText"/>
        <w:spacing w:lineRule="auto" w:line="276"/>
        <w:ind w:right="266"/>
        <w:jc w:val="both"/>
        <w:rPr>
          <w:rFonts w:eastAsia="GOSTTypeB"/>
          <w:lang w:eastAsia="en-US" w:bidi="ar-SA"/>
        </w:rPr>
      </w:pPr>
      <w:r>
        <w:rPr>
          <w:rFonts w:eastAsia="GOSTTypeB"/>
          <w:lang w:eastAsia="en-US" w:bidi="ar-SA"/>
        </w:rPr>
        <w:tab/>
        <w:t>Дюбели распорные с металлическим стержнем, размер 10х150 мм.</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r>
    </w:p>
    <w:p>
      <w:pPr>
        <w:pStyle w:val="BodyText"/>
        <w:spacing w:lineRule="auto" w:line="276"/>
        <w:ind w:firstLine="709" w:right="266"/>
        <w:jc w:val="both"/>
        <w:rPr>
          <w:rFonts w:eastAsia="GOSTTypeB"/>
          <w:b/>
          <w:i/>
          <w:i/>
          <w:lang w:eastAsia="en-US" w:bidi="ar-SA"/>
        </w:rPr>
      </w:pPr>
      <w:r>
        <w:rPr>
          <w:rFonts w:eastAsia="GOSTTypeB"/>
          <w:b/>
          <w:i/>
          <w:lang w:eastAsia="en-US" w:bidi="ar-SA"/>
        </w:rPr>
        <w:t>Инструкция:</w:t>
      </w:r>
    </w:p>
    <w:p>
      <w:pPr>
        <w:pStyle w:val="BodyText"/>
        <w:spacing w:lineRule="auto" w:line="276"/>
        <w:ind w:firstLine="709" w:right="266"/>
        <w:jc w:val="both"/>
        <w:rPr>
          <w:rFonts w:eastAsia="GOSTTypeB"/>
          <w:lang w:eastAsia="en-US" w:bidi="ar-SA"/>
        </w:rPr>
      </w:pPr>
      <w:r>
        <w:rPr>
          <w:rFonts w:eastAsia="GOSTTypeB"/>
          <w:lang w:eastAsia="en-US" w:bidi="ar-SA"/>
        </w:rPr>
        <w:t>1.</w:t>
      </w:r>
      <w:r>
        <w:rPr>
          <w:rFonts w:eastAsia="GOSTTypeB"/>
          <w:bCs/>
          <w:lang w:eastAsia="en-US" w:bidi="ar-SA"/>
        </w:rPr>
        <w:t xml:space="preserve"> </w:t>
      </w:r>
      <w:r>
        <w:rPr>
          <w:rFonts w:eastAsia="GOSTTypeB"/>
          <w:lang w:eastAsia="en-US" w:bidi="ar-SA"/>
        </w:rPr>
        <w:t>Изучить схему расположения элементов ленточного фундамента и ФБС.</w:t>
      </w:r>
    </w:p>
    <w:p>
      <w:pPr>
        <w:pStyle w:val="BodyText"/>
        <w:spacing w:lineRule="auto" w:line="276"/>
        <w:ind w:firstLine="709" w:right="266"/>
        <w:jc w:val="both"/>
        <w:rPr>
          <w:rFonts w:eastAsia="GOSTTypeB"/>
          <w:lang w:eastAsia="en-US" w:bidi="ar-SA"/>
        </w:rPr>
      </w:pPr>
      <w:r>
        <w:rPr>
          <w:rFonts w:eastAsia="GOSTTypeB"/>
          <w:lang w:eastAsia="en-US" w:bidi="ar-SA"/>
        </w:rPr>
        <w:t>2. Заполнить ведомость подсчёта объёмов работ по устройству основания под фундаменты, по монтажу ФЛ и ФБС, устройству армопояса, монолитных заделок (участков), утепления фундаментов.</w:t>
      </w:r>
    </w:p>
    <w:p>
      <w:pPr>
        <w:pStyle w:val="BodyText"/>
        <w:spacing w:lineRule="auto" w:line="276"/>
        <w:ind w:firstLine="709" w:right="266"/>
        <w:jc w:val="both"/>
        <w:rPr>
          <w:rFonts w:eastAsia="GOSTTypeB"/>
          <w:lang w:eastAsia="en-US" w:bidi="ar-SA"/>
        </w:rPr>
      </w:pPr>
      <w:r>
        <w:rPr>
          <w:rFonts w:eastAsia="GOSTTypeB"/>
          <w:lang w:eastAsia="en-US" w:bidi="ar-SA"/>
        </w:rPr>
      </w:r>
    </w:p>
    <w:p>
      <w:pPr>
        <w:pStyle w:val="NormalWeb"/>
        <w:spacing w:lineRule="auto" w:line="276" w:beforeAutospacing="0" w:before="0" w:afterAutospacing="0" w:after="0"/>
        <w:ind w:left="720"/>
        <w:jc w:val="center"/>
        <w:rPr>
          <w:b/>
        </w:rPr>
      </w:pPr>
      <w:r>
        <w:rPr>
          <w:b/>
        </w:rPr>
        <w:t>Гидроизоляция</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 xml:space="preserve">Для предохранения стен от капиллярной влаги в фундаментах выполнены горизонтальная и вертикальная гидроизоляция. </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 xml:space="preserve">Горизонтальная гидроизоляция – оклеечная из </w:t>
      </w:r>
      <w:r>
        <w:rPr>
          <w:sz w:val="24"/>
          <w:szCs w:val="24"/>
          <w:lang w:bidi="ar-SA"/>
        </w:rPr>
        <w:t>рулонного гидроизоляционного материала Изол</w:t>
      </w:r>
      <w:r>
        <w:rPr>
          <w:rFonts w:eastAsia="GOSTTypeB"/>
          <w:sz w:val="24"/>
          <w:szCs w:val="24"/>
          <w:lang w:eastAsia="en-US" w:bidi="ar-SA"/>
        </w:rPr>
        <w:t xml:space="preserve"> по верху фундаментных плит в два слоя,</w:t>
      </w:r>
      <w:r>
        <w:rPr>
          <w:sz w:val="24"/>
          <w:szCs w:val="24"/>
        </w:rPr>
        <w:t xml:space="preserve"> на </w:t>
      </w:r>
      <w:r>
        <w:rPr>
          <w:rFonts w:eastAsia="GOSTTypeB"/>
          <w:sz w:val="24"/>
          <w:szCs w:val="24"/>
          <w:lang w:eastAsia="en-US" w:bidi="ar-SA"/>
        </w:rPr>
        <w:t>растворе готовом кладочном цементном, М25; вертикальная гидроизоляция - окраска наружной поверхности стен битумной мастикой гидроизоляционной МГ-1 в два слоя.</w:t>
      </w:r>
    </w:p>
    <w:p>
      <w:pPr>
        <w:pStyle w:val="Normal"/>
        <w:widowControl/>
        <w:spacing w:lineRule="auto" w:line="276"/>
        <w:ind w:firstLine="851"/>
        <w:jc w:val="both"/>
        <w:rPr>
          <w:rFonts w:eastAsia="GOSTTypeB"/>
          <w:sz w:val="24"/>
          <w:szCs w:val="24"/>
          <w:lang w:eastAsia="en-US" w:bidi="ar-SA"/>
        </w:rPr>
      </w:pPr>
      <w:r>
        <w:rPr>
          <w:rFonts w:eastAsia="GOSTTypeB"/>
          <w:sz w:val="24"/>
          <w:szCs w:val="24"/>
          <w:lang w:eastAsia="en-US" w:bidi="ar-SA"/>
        </w:rPr>
      </w:r>
    </w:p>
    <w:p>
      <w:pPr>
        <w:pStyle w:val="Normal"/>
        <w:widowControl/>
        <w:spacing w:lineRule="auto" w:line="276"/>
        <w:ind w:firstLine="709"/>
        <w:jc w:val="both"/>
        <w:rPr>
          <w:rFonts w:eastAsia="GOSTTypeB"/>
          <w:sz w:val="24"/>
          <w:szCs w:val="24"/>
          <w:u w:val="single"/>
          <w:lang w:eastAsia="en-US" w:bidi="ar-SA"/>
        </w:rPr>
      </w:pPr>
      <w:r>
        <w:rPr>
          <w:rFonts w:eastAsia="GOSTTypeB"/>
          <w:sz w:val="24"/>
          <w:szCs w:val="24"/>
          <w:u w:val="single"/>
          <w:lang w:eastAsia="en-US" w:bidi="ar-SA"/>
        </w:rPr>
        <w:t xml:space="preserve">Используемые материалы: </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 xml:space="preserve">Раствор готовый кладочный, цементный, М25. </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 xml:space="preserve">Материал рулонный гидроизоляционный Изол. </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Мастика битумная гидроизоляционная МГ-1.</w:t>
      </w:r>
    </w:p>
    <w:p>
      <w:pPr>
        <w:pStyle w:val="Normal"/>
        <w:widowControl/>
        <w:spacing w:lineRule="auto" w:line="276"/>
        <w:ind w:firstLine="709"/>
        <w:jc w:val="both"/>
        <w:rPr>
          <w:rFonts w:eastAsia="GOSTTypeB"/>
          <w:b/>
          <w:i/>
          <w:i/>
          <w:sz w:val="24"/>
          <w:szCs w:val="24"/>
          <w:lang w:eastAsia="en-US" w:bidi="ar-SA"/>
        </w:rPr>
      </w:pPr>
      <w:r>
        <w:rPr>
          <w:rFonts w:eastAsia="GOSTTypeB"/>
          <w:b/>
          <w:i/>
          <w:sz w:val="24"/>
          <w:szCs w:val="24"/>
          <w:lang w:eastAsia="en-US" w:bidi="ar-SA"/>
        </w:rPr>
      </w:r>
    </w:p>
    <w:p>
      <w:pPr>
        <w:pStyle w:val="Normal"/>
        <w:widowControl/>
        <w:spacing w:lineRule="auto" w:line="276"/>
        <w:ind w:firstLine="709"/>
        <w:jc w:val="both"/>
        <w:rPr>
          <w:rFonts w:eastAsia="GOSTTypeB"/>
          <w:b/>
          <w:i/>
          <w:i/>
          <w:sz w:val="24"/>
          <w:szCs w:val="24"/>
          <w:lang w:eastAsia="en-US" w:bidi="ar-SA"/>
        </w:rPr>
      </w:pPr>
      <w:r>
        <w:rPr>
          <w:rFonts w:eastAsia="GOSTTypeB"/>
          <w:b/>
          <w:i/>
          <w:sz w:val="24"/>
          <w:szCs w:val="24"/>
          <w:lang w:eastAsia="en-US" w:bidi="ar-SA"/>
        </w:rPr>
        <w:t>Инструкция:</w:t>
      </w:r>
    </w:p>
    <w:p>
      <w:pPr>
        <w:pStyle w:val="NormalWeb"/>
        <w:spacing w:lineRule="auto" w:line="276" w:beforeAutospacing="0" w:before="0" w:afterAutospacing="0" w:after="0"/>
        <w:ind w:firstLine="709"/>
        <w:jc w:val="both"/>
        <w:rPr/>
      </w:pPr>
      <w:r>
        <w:rPr/>
        <w:t>1. Изучить схему расположения элементов ленточного фундамента и ФБС.</w:t>
      </w:r>
    </w:p>
    <w:p>
      <w:pPr>
        <w:pStyle w:val="NormalWeb"/>
        <w:spacing w:lineRule="auto" w:line="276" w:beforeAutospacing="0" w:before="0" w:afterAutospacing="0" w:after="0"/>
        <w:ind w:firstLine="709"/>
        <w:jc w:val="both"/>
        <w:rPr/>
      </w:pPr>
      <w:r>
        <w:rPr/>
        <w:t>2. Заполнить ведомость подсчёта объёмов работ по гидроизоляции фундаментов.</w:t>
      </w:r>
    </w:p>
    <w:p>
      <w:pPr>
        <w:pStyle w:val="Normal"/>
        <w:widowControl/>
        <w:spacing w:lineRule="auto" w:line="276"/>
        <w:ind w:firstLine="851"/>
        <w:jc w:val="both"/>
        <w:rPr>
          <w:rFonts w:eastAsia="GOSTTypeB"/>
          <w:sz w:val="24"/>
          <w:szCs w:val="24"/>
          <w:lang w:eastAsia="en-US" w:bidi="ar-SA"/>
        </w:rPr>
      </w:pPr>
      <w:r>
        <w:rPr>
          <w:rFonts w:eastAsia="GOSTTypeB"/>
          <w:sz w:val="24"/>
          <w:szCs w:val="24"/>
          <w:lang w:eastAsia="en-US" w:bidi="ar-SA"/>
        </w:rPr>
      </w:r>
    </w:p>
    <w:p>
      <w:pPr>
        <w:pStyle w:val="NormalWeb"/>
        <w:spacing w:lineRule="auto" w:line="276" w:beforeAutospacing="0" w:before="0" w:afterAutospacing="0" w:after="0"/>
        <w:jc w:val="center"/>
        <w:rPr>
          <w:b/>
        </w:rPr>
      </w:pPr>
      <w:r>
        <w:rPr>
          <w:b/>
        </w:rPr>
        <w:t>Стены</w:t>
      </w:r>
    </w:p>
    <w:p>
      <w:pPr>
        <w:pStyle w:val="NormalWeb"/>
        <w:shd w:val="clear" w:color="auto" w:fill="FFFFFF" w:themeFill="background1"/>
        <w:spacing w:lineRule="auto" w:line="276" w:beforeAutospacing="0" w:before="0" w:afterAutospacing="0" w:after="0"/>
        <w:ind w:firstLine="709"/>
        <w:jc w:val="both"/>
        <w:rPr>
          <w:shd w:fill="FFFFFF" w:val="clear"/>
        </w:rPr>
      </w:pPr>
      <w:r>
        <w:rPr>
          <w:shd w:fill="FFFFFF" w:val="clear"/>
        </w:rPr>
        <w:t xml:space="preserve">Наружные несущие стены трёхслойные: внутренний слой - из керамического кирпича пустотелого утолщенного марки 150 толщиной 380мм; средний слой - утеплитель минераловатные плиты «Техноблок ПРОФ», воздушный зазор - 20мм, наружный слой из лицевого керамического кирпича пустотелого </w:t>
      </w:r>
      <w:r>
        <w:rPr>
          <w:shd w:fill="FFFFFF" w:val="clear"/>
          <w:lang w:bidi="ru-RU"/>
        </w:rPr>
        <w:t xml:space="preserve">утолщенного </w:t>
      </w:r>
      <w:r>
        <w:rPr>
          <w:shd w:fill="FFFFFF" w:val="clear"/>
        </w:rPr>
        <w:t>марки 125 толщиной 120мм. Кладку наружного облицовочного слоя вести с расшивкой швов. Слой кладки соединить гибкими связями в виде арматуры БПА-300-6-2п по ТУ 57 1490-002-13101102-2002 с шагом по горизонтали и по вертикали 500мм.</w:t>
      </w:r>
    </w:p>
    <w:p>
      <w:pPr>
        <w:pStyle w:val="NormalWeb"/>
        <w:shd w:val="clear" w:color="auto" w:fill="FFFFFF" w:themeFill="background1"/>
        <w:spacing w:lineRule="auto" w:line="276" w:beforeAutospacing="0" w:before="0" w:afterAutospacing="0" w:after="0"/>
        <w:ind w:firstLine="709"/>
        <w:jc w:val="both"/>
        <w:rPr>
          <w:rFonts w:eastAsia="GOSTTypeB"/>
          <w:lang w:eastAsia="en-US"/>
        </w:rPr>
      </w:pPr>
      <w:r>
        <w:rPr>
          <w:shd w:fill="FFFFFF" w:val="clear"/>
        </w:rPr>
        <w:t>Внутренние стены выложены из керамического кирпича полнотелого утолщенного марки 150</w:t>
      </w:r>
      <w:r>
        <w:rPr>
          <w:rFonts w:eastAsia="GOSTTypeB"/>
          <w:lang w:eastAsia="en-US"/>
        </w:rPr>
        <w:t xml:space="preserve">. Наружные, внутренние кирпичные стены и перегородки, армировать сеткой 4С  </w:t>
      </w:r>
      <w:r>
        <w:rPr/>
      </w:r>
      <m:oMath xmlns:m="http://schemas.openxmlformats.org/officeDocument/2006/math">
        <m:f>
          <m:num>
            <m:r>
              <w:rPr>
                <w:rFonts w:ascii="Cambria Math" w:hAnsi="Cambria Math"/>
              </w:rPr>
              <m:t xml:space="preserve">4</m:t>
            </m:r>
            <m:r>
              <w:rPr>
                <w:rFonts w:ascii="Cambria Math" w:hAnsi="Cambria Math"/>
              </w:rPr>
              <m:t xml:space="preserve">ВрI</m:t>
            </m:r>
            <m:r>
              <w:rPr>
                <w:rFonts w:ascii="Cambria Math" w:hAnsi="Cambria Math"/>
              </w:rPr>
              <m:t xml:space="preserve">−</m:t>
            </m:r>
            <m:r>
              <w:rPr>
                <w:rFonts w:ascii="Cambria Math" w:hAnsi="Cambria Math"/>
              </w:rPr>
              <m:t xml:space="preserve">50</m:t>
            </m:r>
          </m:num>
          <m:den>
            <m:r>
              <w:rPr>
                <w:rFonts w:ascii="Cambria Math" w:hAnsi="Cambria Math"/>
              </w:rPr>
              <m:t xml:space="preserve">4</m:t>
            </m:r>
            <m:r>
              <w:rPr>
                <w:rFonts w:ascii="Cambria Math" w:hAnsi="Cambria Math"/>
              </w:rPr>
              <m:t xml:space="preserve">ВрI</m:t>
            </m:r>
            <m:r>
              <w:rPr>
                <w:rFonts w:ascii="Cambria Math" w:hAnsi="Cambria Math"/>
              </w:rPr>
              <m:t xml:space="preserve">−</m:t>
            </m:r>
            <m:r>
              <w:rPr>
                <w:rFonts w:ascii="Cambria Math" w:hAnsi="Cambria Math"/>
              </w:rPr>
              <m:t xml:space="preserve">50</m:t>
            </m:r>
          </m:den>
        </m:f>
      </m:oMath>
      <w:r>
        <w:rPr>
          <w:rFonts w:eastAsia="GOSTTypeB"/>
          <w:lang w:eastAsia="en-US"/>
        </w:rPr>
        <w:t xml:space="preserve">ГОСТ23279-2012 через 4 ряда кладки. Указанные на плане участки стен и колонны армировать сеткой 4С </w:t>
      </w:r>
      <w:r>
        <w:rPr/>
      </w:r>
      <m:oMath xmlns:m="http://schemas.openxmlformats.org/officeDocument/2006/math">
        <m:f>
          <m:num>
            <m:r>
              <w:rPr>
                <w:rFonts w:ascii="Cambria Math" w:hAnsi="Cambria Math"/>
              </w:rPr>
              <m:t xml:space="preserve">4</m:t>
            </m:r>
            <m:r>
              <w:rPr>
                <w:rFonts w:ascii="Cambria Math" w:hAnsi="Cambria Math"/>
              </w:rPr>
              <m:t xml:space="preserve">ВрI</m:t>
            </m:r>
            <m:r>
              <w:rPr>
                <w:rFonts w:ascii="Cambria Math" w:hAnsi="Cambria Math"/>
              </w:rPr>
              <m:t xml:space="preserve">−</m:t>
            </m:r>
            <m:r>
              <w:rPr>
                <w:rFonts w:ascii="Cambria Math" w:hAnsi="Cambria Math"/>
              </w:rPr>
              <m:t xml:space="preserve">50</m:t>
            </m:r>
          </m:num>
          <m:den>
            <m:r>
              <w:rPr>
                <w:rFonts w:ascii="Cambria Math" w:hAnsi="Cambria Math"/>
              </w:rPr>
              <m:t xml:space="preserve">4</m:t>
            </m:r>
            <m:r>
              <w:rPr>
                <w:rFonts w:ascii="Cambria Math" w:hAnsi="Cambria Math"/>
              </w:rPr>
              <m:t xml:space="preserve">ВрI</m:t>
            </m:r>
            <m:r>
              <w:rPr>
                <w:rFonts w:ascii="Cambria Math" w:hAnsi="Cambria Math"/>
              </w:rPr>
              <m:t xml:space="preserve">−</m:t>
            </m:r>
            <m:r>
              <w:rPr>
                <w:rFonts w:ascii="Cambria Math" w:hAnsi="Cambria Math"/>
              </w:rPr>
              <m:t xml:space="preserve">50</m:t>
            </m:r>
          </m:den>
        </m:f>
      </m:oMath>
      <w:r>
        <w:rPr>
          <w:rFonts w:eastAsia="GOSTTypeB"/>
          <w:lang w:eastAsia="en-US"/>
        </w:rPr>
        <w:t xml:space="preserve"> ГОСТ23279-2012 через 2 ряда кладки. Кладку наружного облицовочного слоя армировать сеткой 4С </w:t>
      </w:r>
      <w:r>
        <w:rPr/>
      </w:r>
      <m:oMath xmlns:m="http://schemas.openxmlformats.org/officeDocument/2006/math">
        <m:f>
          <m:num>
            <m:r>
              <w:rPr>
                <w:rFonts w:ascii="Cambria Math" w:hAnsi="Cambria Math"/>
              </w:rPr>
              <m:t xml:space="preserve">4</m:t>
            </m:r>
            <m:r>
              <w:rPr>
                <w:rFonts w:ascii="Cambria Math" w:hAnsi="Cambria Math"/>
              </w:rPr>
              <m:t xml:space="preserve">ВрI</m:t>
            </m:r>
            <m:r>
              <w:rPr>
                <w:rFonts w:ascii="Cambria Math" w:hAnsi="Cambria Math"/>
              </w:rPr>
              <m:t xml:space="preserve">−</m:t>
            </m:r>
            <m:r>
              <w:rPr>
                <w:rFonts w:ascii="Cambria Math" w:hAnsi="Cambria Math"/>
              </w:rPr>
              <m:t xml:space="preserve">50</m:t>
            </m:r>
          </m:num>
          <m:den>
            <m:r>
              <w:rPr>
                <w:rFonts w:ascii="Cambria Math" w:hAnsi="Cambria Math"/>
              </w:rPr>
              <m:t xml:space="preserve">4</m:t>
            </m:r>
            <m:r>
              <w:rPr>
                <w:rFonts w:ascii="Cambria Math" w:hAnsi="Cambria Math"/>
              </w:rPr>
              <m:t xml:space="preserve">ВрI</m:t>
            </m:r>
            <m:r>
              <w:rPr>
                <w:rFonts w:ascii="Cambria Math" w:hAnsi="Cambria Math"/>
              </w:rPr>
              <m:t xml:space="preserve">−</m:t>
            </m:r>
            <m:r>
              <w:rPr>
                <w:rFonts w:ascii="Cambria Math" w:hAnsi="Cambria Math"/>
              </w:rPr>
              <m:t xml:space="preserve">50</m:t>
            </m:r>
          </m:den>
        </m:f>
      </m:oMath>
      <w:r>
        <w:rPr>
          <w:rFonts w:eastAsia="GOSTTypeB"/>
          <w:lang w:eastAsia="en-US"/>
        </w:rPr>
        <w:t xml:space="preserve"> через 4 ряда кладки.</w:t>
      </w:r>
    </w:p>
    <w:p>
      <w:pPr>
        <w:pStyle w:val="TableParagraph"/>
        <w:spacing w:lineRule="auto" w:line="276"/>
        <w:ind w:firstLine="709"/>
        <w:jc w:val="both"/>
        <w:rPr>
          <w:rFonts w:eastAsia="GOSTTypeB"/>
          <w:sz w:val="24"/>
          <w:szCs w:val="24"/>
          <w:lang w:eastAsia="en-US" w:bidi="ar-SA"/>
        </w:rPr>
      </w:pPr>
      <w:r>
        <w:rPr>
          <w:rFonts w:eastAsia="GOSTTypeB"/>
          <w:sz w:val="24"/>
          <w:szCs w:val="24"/>
          <w:lang w:eastAsia="en-US" w:bidi="ar-SA"/>
        </w:rPr>
        <w:t>Кирпичные столбы – это элементы внутреннего каркаса здания, которые служат опорой элементов прогонов. Они имеют квадратную форму, выложены по трехрядной системе перевязки швов из керамического кирпича полнотелого утолщенного марки 150 на растворе кладочном, цементно-известковом марки М75.</w:t>
      </w:r>
    </w:p>
    <w:p>
      <w:pPr>
        <w:pStyle w:val="Normal"/>
        <w:spacing w:lineRule="auto" w:line="276"/>
        <w:ind w:firstLine="709"/>
        <w:jc w:val="both"/>
        <w:rPr>
          <w:sz w:val="24"/>
          <w:szCs w:val="24"/>
        </w:rPr>
      </w:pPr>
      <w:r>
        <w:rPr>
          <w:sz w:val="24"/>
          <w:szCs w:val="24"/>
        </w:rPr>
        <w:t>Теплоизоляция – элемент конструкций, уменьшающий процесс теплопередачи и выполняющий роль основного термического сопротивления конструкций. В проекте применена внутренняя изоляция наружных стен здания.</w:t>
      </w:r>
    </w:p>
    <w:p>
      <w:pPr>
        <w:pStyle w:val="Normal"/>
        <w:spacing w:lineRule="auto" w:line="276"/>
        <w:ind w:firstLine="709"/>
        <w:jc w:val="both"/>
        <w:rPr>
          <w:sz w:val="24"/>
          <w:szCs w:val="24"/>
        </w:rPr>
      </w:pPr>
      <w:r>
        <w:rPr>
          <w:sz w:val="24"/>
          <w:szCs w:val="24"/>
        </w:rPr>
        <w:t xml:space="preserve">В качестве теплоизоляционного материала использованы </w:t>
      </w:r>
      <w:r>
        <w:rPr>
          <w:rFonts w:eastAsia="GOSTTypeB"/>
          <w:sz w:val="24"/>
          <w:szCs w:val="24"/>
          <w:lang w:eastAsia="en-US"/>
        </w:rPr>
        <w:t>плиты минераловатные на синтетическом связующем Техно,</w:t>
      </w:r>
      <w:r>
        <w:rPr>
          <w:sz w:val="24"/>
          <w:szCs w:val="24"/>
        </w:rPr>
        <w:t xml:space="preserve"> марки: </w:t>
      </w:r>
      <w:r>
        <w:rPr>
          <w:rFonts w:eastAsia="GOSTTypeB"/>
          <w:sz w:val="24"/>
          <w:szCs w:val="24"/>
          <w:lang w:eastAsia="en-US" w:bidi="ar-SA"/>
        </w:rPr>
        <w:t>«ТЕХНОБЛОК ПРОФ»</w:t>
      </w:r>
      <w:r>
        <w:rPr>
          <w:sz w:val="24"/>
          <w:szCs w:val="24"/>
        </w:rPr>
        <w:t xml:space="preserve"> (см. узел 1, 2 на листе 11).</w:t>
      </w:r>
    </w:p>
    <w:p>
      <w:pPr>
        <w:pStyle w:val="NormalWeb"/>
        <w:spacing w:lineRule="auto" w:line="276" w:beforeAutospacing="0" w:before="0" w:afterAutospacing="0" w:after="0"/>
        <w:ind w:firstLine="709"/>
        <w:jc w:val="both"/>
        <w:rPr>
          <w:rStyle w:val="Strong"/>
          <w:b w:val="false"/>
        </w:rPr>
      </w:pPr>
      <w:r>
        <w:rPr>
          <w:rStyle w:val="Strong"/>
          <w:b w:val="false"/>
        </w:rPr>
        <w:t>Тамбур – буферная зона между улицей и жилым помещением.</w:t>
      </w:r>
    </w:p>
    <w:p>
      <w:pPr>
        <w:pStyle w:val="NormalWeb"/>
        <w:spacing w:lineRule="auto" w:line="276" w:beforeAutospacing="0" w:before="0" w:afterAutospacing="0" w:after="0"/>
        <w:ind w:firstLine="709"/>
        <w:jc w:val="both"/>
        <w:rPr>
          <w:rStyle w:val="Strong"/>
          <w:rFonts w:eastAsia="GOSTTypeB"/>
          <w:b w:val="false"/>
          <w:bCs w:val="false"/>
          <w:lang w:eastAsia="en-US"/>
        </w:rPr>
      </w:pPr>
      <w:r>
        <w:rPr>
          <w:rStyle w:val="Strong"/>
          <w:b w:val="false"/>
        </w:rPr>
        <w:t xml:space="preserve">В проекте тамбуры, электрощитовая, венткамера и тепловой узел выложены из </w:t>
      </w:r>
      <w:r>
        <w:rPr/>
        <w:t>керамического</w:t>
      </w:r>
      <w:r>
        <w:rPr>
          <w:rStyle w:val="Strong"/>
          <w:b w:val="false"/>
        </w:rPr>
        <w:t xml:space="preserve"> к</w:t>
      </w:r>
      <w:r>
        <w:rPr/>
        <w:t xml:space="preserve">ирпича полнотелого утолщенного марки 150, </w:t>
      </w:r>
      <w:r>
        <w:rPr>
          <w:rStyle w:val="Strong"/>
          <w:b w:val="false"/>
        </w:rPr>
        <w:t xml:space="preserve">утеплены минераловатными плитами на синтетическом связующем Техно, марки: </w:t>
      </w:r>
      <w:r>
        <w:rPr>
          <w:rFonts w:eastAsia="GOSTTypeB"/>
          <w:bCs/>
          <w:lang w:eastAsia="en-US"/>
        </w:rPr>
        <w:t>«</w:t>
      </w:r>
      <w:r>
        <w:rPr>
          <w:rFonts w:eastAsia="GOSTTypeB"/>
          <w:lang w:eastAsia="en-US"/>
        </w:rPr>
        <w:t>ТЕХНОБЛОК</w:t>
      </w:r>
      <w:r>
        <w:rPr>
          <w:rStyle w:val="Strong"/>
          <w:b w:val="false"/>
        </w:rPr>
        <w:t xml:space="preserve"> </w:t>
      </w:r>
      <w:r>
        <w:rPr>
          <w:rFonts w:eastAsia="GOSTTypeB"/>
          <w:bCs/>
          <w:lang w:eastAsia="en-US"/>
        </w:rPr>
        <w:t>ПРОФ»</w:t>
      </w:r>
      <w:r>
        <w:rPr>
          <w:rStyle w:val="Strong"/>
          <w:b w:val="false"/>
        </w:rPr>
        <w:t xml:space="preserve">, облицованы по одинарному металлическому каркасу </w:t>
      </w:r>
      <w:r>
        <w:rPr>
          <w:rFonts w:eastAsia="GOSTTypeB"/>
          <w:lang w:eastAsia="en-US"/>
        </w:rPr>
        <w:t xml:space="preserve">листами гипсокартонными ГКЛВ, толщиной 12,5 мм </w:t>
      </w:r>
      <w:r>
        <w:rPr>
          <w:rStyle w:val="Strong"/>
          <w:b w:val="false"/>
        </w:rPr>
        <w:t>(см. узел 2 лист 11).</w:t>
      </w:r>
    </w:p>
    <w:p>
      <w:pPr>
        <w:pStyle w:val="NormalWeb"/>
        <w:spacing w:lineRule="auto" w:line="276" w:beforeAutospacing="0" w:before="0" w:afterAutospacing="0" w:after="0"/>
        <w:ind w:firstLine="851"/>
        <w:jc w:val="both"/>
        <w:rPr>
          <w:rStyle w:val="Strong"/>
          <w:b w:val="false"/>
        </w:rPr>
      </w:pPr>
      <w:r>
        <w:rPr>
          <w:b w:val="false"/>
        </w:rPr>
      </w:r>
    </w:p>
    <w:p>
      <w:pPr>
        <w:pStyle w:val="NormalWeb"/>
        <w:spacing w:lineRule="auto" w:line="276" w:beforeAutospacing="0" w:before="0" w:afterAutospacing="0" w:after="0"/>
        <w:ind w:left="720"/>
        <w:rPr>
          <w:rFonts w:eastAsia="GOSTTypeB"/>
          <w:u w:val="single"/>
          <w:lang w:eastAsia="en-US"/>
        </w:rPr>
      </w:pPr>
      <w:r>
        <w:rPr>
          <w:rFonts w:eastAsia="GOSTTypeB"/>
          <w:u w:val="single"/>
          <w:lang w:eastAsia="en-US"/>
        </w:rPr>
        <w:t>Используемые материалы:</w:t>
      </w:r>
    </w:p>
    <w:p>
      <w:pPr>
        <w:pStyle w:val="NormalWeb"/>
        <w:spacing w:lineRule="auto" w:line="276" w:beforeAutospacing="0" w:before="0" w:afterAutospacing="0" w:after="0"/>
        <w:ind w:hanging="11" w:left="720"/>
        <w:jc w:val="both"/>
        <w:rPr>
          <w:rFonts w:eastAsia="GOSTTypeB"/>
          <w:lang w:eastAsia="en-US"/>
        </w:rPr>
      </w:pPr>
      <w:r>
        <w:rPr>
          <w:rFonts w:eastAsia="GOSTTypeB"/>
          <w:lang w:eastAsia="en-US"/>
        </w:rPr>
        <w:t>Раствор кладочный, цементно-известковый, М75.</w:t>
      </w:r>
    </w:p>
    <w:p>
      <w:pPr>
        <w:pStyle w:val="NormalWeb"/>
        <w:spacing w:lineRule="auto" w:line="276" w:beforeAutospacing="0" w:before="0" w:afterAutospacing="0" w:after="0"/>
        <w:ind w:hanging="11" w:left="720"/>
        <w:jc w:val="both"/>
        <w:rPr>
          <w:rFonts w:eastAsia="GOSTTypeB"/>
          <w:lang w:eastAsia="en-US"/>
        </w:rPr>
      </w:pPr>
      <w:r>
        <w:rPr>
          <w:rFonts w:eastAsia="GOSTTypeB"/>
          <w:lang w:eastAsia="en-US"/>
        </w:rPr>
        <w:t>Кирпич керамический пустотелый утолщенный, размер 250х120х88 мм, марка 150.</w:t>
      </w:r>
    </w:p>
    <w:p>
      <w:pPr>
        <w:pStyle w:val="NormalWeb"/>
        <w:spacing w:lineRule="auto" w:line="276" w:beforeAutospacing="0" w:before="0" w:afterAutospacing="0" w:after="0"/>
        <w:ind w:firstLine="709"/>
        <w:jc w:val="both"/>
        <w:rPr>
          <w:rFonts w:eastAsia="GOSTTypeB"/>
          <w:lang w:eastAsia="en-US"/>
        </w:rPr>
      </w:pPr>
      <w:r>
        <w:rPr>
          <w:rFonts w:eastAsia="GOSTTypeB"/>
          <w:lang w:eastAsia="en-US"/>
        </w:rPr>
        <w:t>Кирпич керамический пустотелый утолщенный лицевой, размер 250х120х88 мм, марка 125.</w:t>
      </w:r>
    </w:p>
    <w:p>
      <w:pPr>
        <w:pStyle w:val="NormalWeb"/>
        <w:spacing w:lineRule="auto" w:line="276" w:beforeAutospacing="0" w:before="0" w:afterAutospacing="0" w:after="0"/>
        <w:ind w:hanging="11" w:left="720"/>
        <w:jc w:val="both"/>
        <w:rPr>
          <w:rFonts w:eastAsia="GOSTTypeB"/>
          <w:lang w:eastAsia="en-US"/>
        </w:rPr>
      </w:pPr>
      <w:r>
        <w:rPr>
          <w:rFonts w:eastAsia="GOSTTypeB"/>
          <w:lang w:eastAsia="en-US"/>
        </w:rPr>
        <w:t>Кирпич керамический полнотелый утолщенный, размер 250х120х88 мм, марка 150.</w:t>
      </w:r>
    </w:p>
    <w:p>
      <w:pPr>
        <w:pStyle w:val="NormalWeb"/>
        <w:spacing w:lineRule="auto" w:line="276" w:beforeAutospacing="0" w:before="0" w:afterAutospacing="0" w:after="0"/>
        <w:ind w:firstLine="709"/>
        <w:jc w:val="both"/>
        <w:rPr>
          <w:rFonts w:eastAsia="GOSTTypeB"/>
          <w:lang w:eastAsia="en-US"/>
        </w:rPr>
      </w:pPr>
      <w:r>
        <w:rPr>
          <w:rFonts w:eastAsia="GOSTTypeB"/>
          <w:lang w:eastAsia="en-US"/>
        </w:rPr>
        <w:t>Плиты минераловатные на синтетическом связующем Техно (ТУ 5762-043-17925162-2006), марки: ТЕХНОБЛОК ПРОФ.</w:t>
      </w:r>
    </w:p>
    <w:p>
      <w:pPr>
        <w:pStyle w:val="NormalWeb"/>
        <w:spacing w:lineRule="auto" w:line="276" w:beforeAutospacing="0" w:before="0" w:afterAutospacing="0" w:after="0"/>
        <w:ind w:firstLine="709"/>
        <w:jc w:val="both"/>
        <w:rPr>
          <w:rFonts w:eastAsia="GOSTTypeB"/>
          <w:lang w:eastAsia="en-US"/>
        </w:rPr>
      </w:pPr>
      <w:r>
        <w:rPr>
          <w:rFonts w:eastAsia="GOSTTypeB"/>
          <w:lang w:eastAsia="en-US"/>
        </w:rPr>
        <w:t>Дюбели распорные с металлическим стержнем, размер 10х150 мм.</w:t>
      </w:r>
    </w:p>
    <w:p>
      <w:pPr>
        <w:pStyle w:val="NormalWeb"/>
        <w:spacing w:lineRule="auto" w:line="276" w:beforeAutospacing="0" w:before="0" w:afterAutospacing="0" w:after="0"/>
        <w:ind w:firstLine="709"/>
        <w:jc w:val="both"/>
        <w:rPr>
          <w:rFonts w:eastAsia="GOSTTypeB"/>
          <w:lang w:eastAsia="en-US"/>
        </w:rPr>
      </w:pPr>
      <w:r>
        <w:rPr>
          <w:rFonts w:eastAsia="GOSTTypeB"/>
          <w:lang w:eastAsia="en-US"/>
        </w:rPr>
        <w:t>Листы гипсокартонные ГКЛВ, толщина 12,5 мм.</w:t>
      </w:r>
    </w:p>
    <w:p>
      <w:pPr>
        <w:pStyle w:val="NormalWeb"/>
        <w:spacing w:lineRule="auto" w:line="276" w:beforeAutospacing="0" w:before="0" w:afterAutospacing="0" w:after="0"/>
        <w:ind w:left="720"/>
        <w:rPr>
          <w:b/>
          <w:i/>
          <w:i/>
        </w:rPr>
      </w:pPr>
      <w:r>
        <w:rPr>
          <w:b/>
          <w:i/>
        </w:rPr>
      </w:r>
    </w:p>
    <w:p>
      <w:pPr>
        <w:pStyle w:val="NormalWeb"/>
        <w:spacing w:lineRule="auto" w:line="276" w:beforeAutospacing="0" w:before="0" w:afterAutospacing="0" w:after="0"/>
        <w:ind w:left="720"/>
        <w:rPr>
          <w:b/>
          <w:i/>
          <w:i/>
        </w:rPr>
      </w:pPr>
      <w:r>
        <w:rPr>
          <w:b/>
          <w:i/>
        </w:rPr>
      </w:r>
    </w:p>
    <w:p>
      <w:pPr>
        <w:pStyle w:val="NormalWeb"/>
        <w:spacing w:lineRule="auto" w:line="276" w:beforeAutospacing="0" w:before="0" w:afterAutospacing="0" w:after="0"/>
        <w:ind w:left="720"/>
        <w:rPr>
          <w:b/>
          <w:i/>
          <w:i/>
        </w:rPr>
      </w:pPr>
      <w:r>
        <w:rPr>
          <w:b/>
          <w:i/>
        </w:rPr>
      </w:r>
    </w:p>
    <w:p>
      <w:pPr>
        <w:pStyle w:val="NormalWeb"/>
        <w:spacing w:lineRule="auto" w:line="276" w:beforeAutospacing="0" w:before="0" w:afterAutospacing="0" w:after="0"/>
        <w:ind w:left="720"/>
        <w:rPr>
          <w:b/>
          <w:i/>
          <w:i/>
        </w:rPr>
      </w:pPr>
      <w:r>
        <w:rPr>
          <w:b/>
          <w:i/>
        </w:rPr>
        <w:t>Инструкция:</w:t>
      </w:r>
    </w:p>
    <w:p>
      <w:pPr>
        <w:pStyle w:val="NormalWeb"/>
        <w:spacing w:lineRule="auto" w:line="276" w:beforeAutospacing="0" w:before="0" w:afterAutospacing="0" w:after="0"/>
        <w:ind w:firstLine="709"/>
        <w:jc w:val="both"/>
        <w:rPr/>
      </w:pPr>
      <w:r>
        <w:rPr/>
        <w:t>1.</w:t>
      </w:r>
      <w:r>
        <w:rPr>
          <w:rStyle w:val="Strong"/>
          <w:b w:val="false"/>
        </w:rPr>
        <w:t> </w:t>
      </w:r>
      <w:r>
        <w:rPr/>
        <w:t>Заполнить ведомости перемычек.</w:t>
      </w:r>
    </w:p>
    <w:p>
      <w:pPr>
        <w:pStyle w:val="NormalWeb"/>
        <w:spacing w:lineRule="auto" w:line="276" w:beforeAutospacing="0" w:before="0" w:afterAutospacing="0" w:after="0"/>
        <w:ind w:firstLine="709"/>
        <w:jc w:val="both"/>
        <w:rPr/>
      </w:pPr>
      <w:r>
        <w:rPr>
          <w:rStyle w:val="Strong"/>
          <w:b w:val="false"/>
        </w:rPr>
        <w:t>2. </w:t>
      </w:r>
      <w:r>
        <w:rPr/>
        <w:t xml:space="preserve">Заполнить ведомость подсчёта объёмов по кирпичной кладке наружных и внутренних стен, кирпичных столбов, теплоизоляции наружных стен, утеплению и облицовки стен тамбуров. При подсчете объемов работ </w:t>
      </w:r>
      <w:r>
        <w:rPr>
          <w:lang w:bidi="ru-RU"/>
        </w:rPr>
        <w:t xml:space="preserve">по кирпичной кладке </w:t>
      </w:r>
      <w:r>
        <w:rPr/>
        <w:t>произвести округление величин</w:t>
      </w:r>
      <w:r>
        <w:rPr>
          <w:b/>
        </w:rPr>
        <w:t xml:space="preserve"> </w:t>
      </w:r>
      <w:r>
        <w:rPr/>
        <w:t>до 2ух знаков после запятой.</w:t>
      </w:r>
    </w:p>
    <w:p>
      <w:pPr>
        <w:pStyle w:val="NormalWeb"/>
        <w:spacing w:lineRule="auto" w:line="276" w:beforeAutospacing="0" w:before="0" w:afterAutospacing="0" w:after="0"/>
        <w:ind w:firstLine="709"/>
        <w:jc w:val="both"/>
        <w:rPr>
          <w:iCs/>
        </w:rPr>
      </w:pPr>
      <w:r>
        <w:rPr>
          <w:rStyle w:val="Strong"/>
          <w:b w:val="false"/>
        </w:rPr>
        <w:t>3.</w:t>
      </w:r>
      <w:r>
        <w:rPr/>
        <w:t> Вычесть объем заполнения проемов.</w:t>
      </w:r>
    </w:p>
    <w:p>
      <w:pPr>
        <w:pStyle w:val="NormalWeb"/>
        <w:spacing w:lineRule="auto" w:line="276" w:beforeAutospacing="0" w:before="0" w:afterAutospacing="0" w:after="0"/>
        <w:ind w:firstLine="709"/>
        <w:jc w:val="both"/>
        <w:rPr/>
      </w:pPr>
      <w:r>
        <w:rPr>
          <w:iCs/>
        </w:rPr>
        <w:t>4.</w:t>
      </w:r>
      <w:r>
        <w:rPr>
          <w:b/>
          <w:iCs/>
        </w:rPr>
        <w:t xml:space="preserve"> </w:t>
      </w:r>
      <w:r>
        <w:rPr/>
        <w:t xml:space="preserve">Вычесть объем железобетонных перемычек, объем опорных подушек и прогонов из объема кирпичной кладки, </w:t>
      </w:r>
    </w:p>
    <w:p>
      <w:pPr>
        <w:pStyle w:val="NormalWeb"/>
        <w:spacing w:lineRule="auto" w:line="276" w:beforeAutospacing="0" w:before="0" w:afterAutospacing="0" w:after="0"/>
        <w:ind w:firstLine="709"/>
        <w:jc w:val="both"/>
        <w:rPr/>
      </w:pPr>
      <w:r>
        <w:rPr/>
        <w:t xml:space="preserve">Объем борозды заделки плит перекрытий из объема кладки не исключать на основании правил подсчета объемов работ, описанных в разделе </w:t>
      </w:r>
      <w:r>
        <w:rPr>
          <w:lang w:val="en-US"/>
        </w:rPr>
        <w:t>II</w:t>
      </w:r>
      <w:r>
        <w:rPr/>
        <w:t xml:space="preserve"> «Исчисление объемов работ» Общих положений сборника ФЕР08 «Конструкции из кирпича и блоков»:</w:t>
      </w:r>
    </w:p>
    <w:p>
      <w:pPr>
        <w:pStyle w:val="Normal"/>
        <w:shd w:val="clear" w:color="auto" w:fill="FFFFFF"/>
        <w:spacing w:lineRule="auto" w:line="276"/>
        <w:ind w:firstLine="709"/>
        <w:jc w:val="both"/>
        <w:rPr>
          <w:iCs/>
          <w:sz w:val="24"/>
          <w:szCs w:val="24"/>
        </w:rPr>
      </w:pPr>
      <w:r>
        <w:rPr>
          <w:iCs/>
          <w:sz w:val="24"/>
          <w:szCs w:val="24"/>
        </w:rPr>
        <w:t xml:space="preserve">п.2.8.8. Объем конструкций из материалов, отличающихся от материала кладки (железобетонные колонны, подкладные плиты, перемычки, фундаментные балки, санитарно-технические и тепловые панели и т.п.), следует исключать из объема кладки. </w:t>
      </w:r>
    </w:p>
    <w:p>
      <w:pPr>
        <w:pStyle w:val="Normal"/>
        <w:shd w:val="clear" w:color="auto" w:fill="FFFFFF"/>
        <w:spacing w:lineRule="auto" w:line="276"/>
        <w:ind w:firstLine="709"/>
        <w:jc w:val="both"/>
        <w:rPr>
          <w:iCs/>
          <w:sz w:val="24"/>
          <w:szCs w:val="24"/>
        </w:rPr>
      </w:pPr>
      <w:r>
        <w:rPr>
          <w:iCs/>
          <w:sz w:val="24"/>
          <w:szCs w:val="24"/>
        </w:rPr>
        <w:t>Гнезда или борозды для заделки концов балок, панелей перекрытий, плит, а также объемы ниш для отопления, вентиляционных и дымовых каналов, ступеней и т.п. из объема кладки не исключаются, объем ниш для встроенного оборудования в объем кладки не включается.</w:t>
      </w:r>
    </w:p>
    <w:p>
      <w:pPr>
        <w:pStyle w:val="NormalWeb"/>
        <w:spacing w:lineRule="auto" w:line="276" w:beforeAutospacing="0" w:before="0" w:afterAutospacing="0" w:after="0"/>
        <w:jc w:val="both"/>
        <w:rPr/>
      </w:pPr>
      <w:r>
        <w:rPr/>
      </w:r>
    </w:p>
    <w:p>
      <w:pPr>
        <w:pStyle w:val="NormalWeb"/>
        <w:spacing w:lineRule="auto" w:line="276" w:beforeAutospacing="0" w:before="0" w:afterAutospacing="0" w:after="0"/>
        <w:jc w:val="center"/>
        <w:rPr>
          <w:b/>
        </w:rPr>
      </w:pPr>
      <w:r>
        <w:rPr>
          <w:b/>
        </w:rPr>
        <w:t>Перемычки</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 xml:space="preserve">Перемычка - это конструктивный элемент стен, выполняемый над проёмами и предназначенный для возведения вышележащей кладки. Конструкция и сечение перемычек зависят от воспринимаемой нагрузки и места расположения на плане. Перемычки бывают несущими и самонесущими. Опирание несущей перемычки на простенки - 250мм с каждой стороны, а самонесущей -  не менее 120 мм с каждой стороны. </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В проекте использованы стальные уголки со стороны фасада для улучшения облика здания. Для несущих конструкций глубина опирания составляет 250 мм и более, для самонесущей – не меньше 120 мм, а над дверными проемами – более 200 мм.</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В комплекте задания приведена Ведомость перемычек.</w:t>
      </w:r>
    </w:p>
    <w:p>
      <w:pPr>
        <w:pStyle w:val="NormalWeb"/>
        <w:spacing w:lineRule="auto" w:line="276" w:beforeAutospacing="0" w:before="0" w:afterAutospacing="0" w:after="0"/>
        <w:ind w:left="720"/>
        <w:rPr>
          <w:b/>
          <w:i/>
          <w:i/>
        </w:rPr>
      </w:pPr>
      <w:r>
        <w:rPr>
          <w:b/>
          <w:i/>
        </w:rPr>
      </w:r>
    </w:p>
    <w:p>
      <w:pPr>
        <w:pStyle w:val="NormalWeb"/>
        <w:spacing w:lineRule="auto" w:line="276" w:beforeAutospacing="0" w:before="0" w:afterAutospacing="0" w:after="0"/>
        <w:ind w:left="720"/>
        <w:rPr>
          <w:b/>
          <w:i/>
          <w:i/>
        </w:rPr>
      </w:pPr>
      <w:r>
        <w:rPr>
          <w:b/>
          <w:i/>
        </w:rPr>
        <w:t>Инструкция:</w:t>
      </w:r>
    </w:p>
    <w:p>
      <w:pPr>
        <w:pStyle w:val="NormalWeb"/>
        <w:spacing w:lineRule="auto" w:line="276" w:beforeAutospacing="0" w:before="0" w:afterAutospacing="0" w:after="0"/>
        <w:ind w:firstLine="709"/>
        <w:jc w:val="both"/>
        <w:rPr/>
      </w:pPr>
      <w:r>
        <w:rPr/>
        <w:t>1. Изучить ведомость перемычек;</w:t>
      </w:r>
    </w:p>
    <w:p>
      <w:pPr>
        <w:pStyle w:val="NormalWeb"/>
        <w:spacing w:lineRule="auto" w:line="276" w:beforeAutospacing="0" w:before="0" w:afterAutospacing="0" w:after="0"/>
        <w:ind w:firstLine="709"/>
        <w:jc w:val="both"/>
        <w:rPr/>
      </w:pPr>
      <w:r>
        <w:rPr/>
        <w:t>2. Заполнить ведомость подсчёта объёмов перемычек.</w:t>
      </w:r>
    </w:p>
    <w:p>
      <w:pPr>
        <w:pStyle w:val="NormalWeb"/>
        <w:spacing w:lineRule="auto" w:line="276" w:beforeAutospacing="0" w:before="0" w:afterAutospacing="0" w:after="0"/>
        <w:ind w:firstLine="709"/>
        <w:jc w:val="both"/>
        <w:rPr/>
      </w:pPr>
      <w:r>
        <w:rPr/>
      </w:r>
    </w:p>
    <w:p>
      <w:pPr>
        <w:pStyle w:val="NormalWeb"/>
        <w:spacing w:lineRule="auto" w:line="276" w:beforeAutospacing="0" w:before="0" w:afterAutospacing="0" w:after="0"/>
        <w:jc w:val="center"/>
        <w:rPr>
          <w:b/>
        </w:rPr>
      </w:pPr>
      <w:r>
        <w:rPr>
          <w:b/>
        </w:rPr>
        <w:t>Прогоны</w:t>
      </w:r>
    </w:p>
    <w:p>
      <w:pPr>
        <w:pStyle w:val="NormalWeb"/>
        <w:spacing w:lineRule="auto" w:line="276" w:beforeAutospacing="0" w:before="0" w:afterAutospacing="0" w:after="0"/>
        <w:ind w:firstLine="709"/>
        <w:jc w:val="both"/>
        <w:rPr/>
      </w:pPr>
      <w:r>
        <w:rPr/>
        <w:t xml:space="preserve">Прогон – это конструктивный элемент здания, горизонтально расположенная балка. Прогон опирается на несущие конструкции сооружения (колонны, стены). </w:t>
      </w:r>
    </w:p>
    <w:p>
      <w:pPr>
        <w:pStyle w:val="NormalWeb"/>
        <w:spacing w:lineRule="auto" w:line="276" w:beforeAutospacing="0" w:before="0" w:afterAutospacing="0" w:after="0"/>
        <w:ind w:firstLine="709"/>
        <w:jc w:val="both"/>
        <w:rPr/>
      </w:pPr>
      <w:r>
        <w:rPr/>
        <w:t>Использованы железобетонные прогоны ПРГ.</w:t>
      </w:r>
    </w:p>
    <w:p>
      <w:pPr>
        <w:pStyle w:val="NormalWeb"/>
        <w:spacing w:lineRule="auto" w:line="276" w:beforeAutospacing="0" w:before="0" w:afterAutospacing="0" w:after="0"/>
        <w:ind w:firstLine="709"/>
        <w:jc w:val="both"/>
        <w:rPr/>
      </w:pPr>
      <w:r>
        <w:rPr/>
        <w:t>Устанавливая прогоны, используют опорные подушки ОП 4.4-А</w:t>
      </w:r>
      <w:r>
        <w:rPr>
          <w:lang w:val="en-US"/>
        </w:rPr>
        <w:t>III</w:t>
      </w:r>
      <w:r>
        <w:rPr/>
        <w:t>.</w:t>
      </w:r>
    </w:p>
    <w:p>
      <w:pPr>
        <w:pStyle w:val="NormalWeb"/>
        <w:spacing w:lineRule="auto" w:line="276" w:beforeAutospacing="0" w:before="0" w:afterAutospacing="0" w:after="0"/>
        <w:ind w:firstLine="709"/>
        <w:jc w:val="both"/>
        <w:rPr/>
      </w:pPr>
      <w:r>
        <w:rPr/>
        <w:t>Опорные подушки – конструктивные элементы, применяемые в качестве подкладок под прогоны. С их помощью осуществляется равномерное распределение нагрузки от прогона на стену.</w:t>
      </w:r>
    </w:p>
    <w:p>
      <w:pPr>
        <w:pStyle w:val="Normal"/>
        <w:widowControl/>
        <w:spacing w:lineRule="auto" w:line="276" w:before="0" w:after="200"/>
        <w:ind w:firstLine="708"/>
        <w:contextualSpacing/>
        <w:rPr>
          <w:rFonts w:eastAsia="Calibri"/>
          <w:sz w:val="24"/>
          <w:szCs w:val="24"/>
          <w:lang w:eastAsia="en-US" w:bidi="ar-SA"/>
        </w:rPr>
      </w:pPr>
      <w:r>
        <w:rPr>
          <w:rFonts w:eastAsia="Calibri"/>
          <w:sz w:val="24"/>
          <w:szCs w:val="24"/>
          <w:lang w:eastAsia="en-US" w:bidi="ar-SA"/>
        </w:rPr>
        <w:t xml:space="preserve">Изготовление и монтаж строительных конструкций производить в соответствии с требованиями </w:t>
      </w:r>
      <w:r>
        <w:rPr>
          <w:rFonts w:eastAsia="Calibri"/>
          <w:sz w:val="24"/>
          <w:szCs w:val="24"/>
          <w:shd w:fill="FFFFFF" w:val="clear"/>
          <w:lang w:eastAsia="en-US" w:bidi="ar-SA"/>
        </w:rPr>
        <w:t>СНиП 3.03.01-87 "Несущие и ограждающие конструкции", СП 16.13330.2011 "Стальные конструкции".</w:t>
      </w:r>
    </w:p>
    <w:p>
      <w:pPr>
        <w:pStyle w:val="Normal"/>
        <w:widowControl/>
        <w:spacing w:lineRule="auto" w:line="276" w:before="0" w:after="200"/>
        <w:ind w:firstLine="708"/>
        <w:contextualSpacing/>
        <w:rPr>
          <w:rFonts w:eastAsia="Calibri"/>
          <w:sz w:val="24"/>
          <w:szCs w:val="24"/>
          <w:lang w:eastAsia="en-US" w:bidi="ar-SA"/>
        </w:rPr>
      </w:pPr>
      <w:r>
        <w:rPr>
          <w:rFonts w:eastAsia="Calibri"/>
          <w:sz w:val="24"/>
          <w:szCs w:val="24"/>
          <w:shd w:fill="FFFFFF" w:val="clear"/>
          <w:lang w:eastAsia="en-US" w:bidi="ar-SA"/>
        </w:rPr>
        <w:t>Укладку железобетонных опорных подушек производить на слой свежеуложенного цементно-песчаного раствора марки М200, толщиной не более 15мм.</w:t>
      </w:r>
    </w:p>
    <w:p>
      <w:pPr>
        <w:pStyle w:val="Normal"/>
        <w:widowControl/>
        <w:spacing w:lineRule="auto" w:line="276" w:before="0" w:after="200"/>
        <w:ind w:firstLine="708"/>
        <w:contextualSpacing/>
        <w:jc w:val="both"/>
        <w:rPr>
          <w:rFonts w:eastAsia="Calibri"/>
          <w:sz w:val="24"/>
          <w:szCs w:val="24"/>
          <w:lang w:eastAsia="en-US" w:bidi="ar-SA"/>
        </w:rPr>
      </w:pPr>
      <w:r>
        <w:rPr>
          <w:rFonts w:eastAsia="Calibri"/>
          <w:sz w:val="24"/>
          <w:szCs w:val="24"/>
          <w:shd w:fill="FFFFFF" w:val="clear"/>
          <w:lang w:eastAsia="en-US" w:bidi="ar-SA"/>
        </w:rPr>
        <w:t>Приварку стальных балок покрытия к закладным деталям опорных подушек производить сразу после их установки в проектное положение электродами Э42А по ГОСТ 9467-75* в соответствии с указаниями 5264-80. Высоту сварных швов принимать по наименьшей толщине свариваемых элементов.</w:t>
      </w:r>
    </w:p>
    <w:p>
      <w:pPr>
        <w:pStyle w:val="Normal"/>
        <w:widowControl/>
        <w:spacing w:lineRule="auto" w:line="276" w:before="0" w:after="200"/>
        <w:ind w:firstLine="708"/>
        <w:contextualSpacing/>
        <w:jc w:val="both"/>
        <w:rPr>
          <w:rFonts w:eastAsia="Calibri"/>
          <w:sz w:val="24"/>
          <w:szCs w:val="24"/>
          <w:lang w:eastAsia="en-US" w:bidi="ar-SA"/>
        </w:rPr>
      </w:pPr>
      <w:r>
        <w:rPr>
          <w:rFonts w:eastAsia="Calibri"/>
          <w:sz w:val="24"/>
          <w:szCs w:val="24"/>
          <w:shd w:fill="FFFFFF" w:val="clear"/>
          <w:lang w:eastAsia="en-US" w:bidi="ar-SA"/>
        </w:rPr>
        <w:t>После проверки правильности установки и приварки балок, места их опирания на стены заложить кирпичом или заполнить бетоном класса В15, при невозможности заложения кирпичом.</w:t>
      </w:r>
    </w:p>
    <w:p>
      <w:pPr>
        <w:pStyle w:val="Normal"/>
        <w:widowControl/>
        <w:spacing w:lineRule="auto" w:line="276" w:before="0" w:after="200"/>
        <w:ind w:firstLine="708"/>
        <w:contextualSpacing/>
        <w:jc w:val="both"/>
        <w:rPr>
          <w:rFonts w:eastAsia="Calibri"/>
          <w:sz w:val="24"/>
          <w:szCs w:val="24"/>
          <w:lang w:eastAsia="en-US" w:bidi="ar-SA"/>
        </w:rPr>
      </w:pPr>
      <w:r>
        <w:rPr>
          <w:rFonts w:eastAsia="Calibri"/>
          <w:sz w:val="24"/>
          <w:szCs w:val="24"/>
          <w:shd w:fill="FFFFFF" w:val="clear"/>
          <w:lang w:eastAsia="en-US" w:bidi="ar-SA"/>
        </w:rPr>
        <w:t>Для обеспечения требуемого предела огнестойкости металлические балки в покрытии и перекрытии обработать огнезащитной обмазкой Ecofire®-Конструктив толщиной до 5 мм. Расход огнезащитной обмазки 5,22 кг/м2</w:t>
      </w:r>
      <w:r>
        <w:rPr>
          <w:rFonts w:eastAsia="Calibri"/>
          <w:sz w:val="24"/>
          <w:szCs w:val="24"/>
          <w:lang w:eastAsia="en-US" w:bidi="ar-SA"/>
        </w:rPr>
        <w:t>.</w:t>
      </w:r>
    </w:p>
    <w:p>
      <w:pPr>
        <w:pStyle w:val="Normal"/>
        <w:widowControl/>
        <w:spacing w:lineRule="auto" w:line="276" w:before="0" w:after="200"/>
        <w:ind w:firstLine="708"/>
        <w:contextualSpacing/>
        <w:jc w:val="both"/>
        <w:rPr>
          <w:rFonts w:eastAsia="Calibri"/>
          <w:sz w:val="24"/>
          <w:szCs w:val="24"/>
          <w:lang w:eastAsia="en-US" w:bidi="ar-SA"/>
        </w:rPr>
      </w:pPr>
      <w:r>
        <w:rPr>
          <w:rFonts w:eastAsia="Calibri"/>
          <w:sz w:val="24"/>
          <w:szCs w:val="24"/>
          <w:shd w:fill="FFFFFF" w:val="clear"/>
          <w:lang w:eastAsia="en-US" w:bidi="ar-SA"/>
        </w:rPr>
        <w:t>Все стальные конструкции должны быть подвергнуты антикоррозийной защите - двумя слоями грунтовки ГФ-021 по ОСТ 6-10-1428 (толщина покрытия 50мкм).</w:t>
      </w:r>
    </w:p>
    <w:p>
      <w:pPr>
        <w:pStyle w:val="Normal"/>
        <w:widowControl/>
        <w:spacing w:lineRule="auto" w:line="276" w:before="0" w:after="200"/>
        <w:ind w:firstLine="708"/>
        <w:contextualSpacing/>
        <w:jc w:val="both"/>
        <w:rPr>
          <w:rFonts w:eastAsia="Calibri"/>
          <w:sz w:val="24"/>
          <w:szCs w:val="24"/>
          <w:lang w:eastAsia="en-US" w:bidi="ar-SA"/>
        </w:rPr>
      </w:pPr>
      <w:r>
        <w:rPr>
          <w:rFonts w:eastAsia="Calibri"/>
          <w:sz w:val="24"/>
          <w:szCs w:val="24"/>
          <w:shd w:fill="FFFFFF" w:val="clear"/>
          <w:lang w:eastAsia="en-US" w:bidi="ar-SA"/>
        </w:rPr>
        <w:t>После установки опорных подушек в проектное положение монтажные петли срезать.</w:t>
      </w:r>
    </w:p>
    <w:p>
      <w:pPr>
        <w:pStyle w:val="Normal"/>
        <w:widowControl/>
        <w:spacing w:lineRule="auto" w:line="276" w:before="0" w:after="200"/>
        <w:ind w:firstLine="708"/>
        <w:contextualSpacing/>
        <w:jc w:val="both"/>
        <w:rPr>
          <w:rFonts w:eastAsia="Calibri"/>
          <w:sz w:val="24"/>
          <w:szCs w:val="24"/>
          <w:lang w:eastAsia="en-US" w:bidi="ar-SA"/>
        </w:rPr>
      </w:pPr>
      <w:r>
        <w:rPr>
          <w:rFonts w:eastAsia="Calibri"/>
          <w:sz w:val="24"/>
          <w:szCs w:val="24"/>
          <w:shd w:fill="FFFFFF" w:val="clear"/>
          <w:lang w:eastAsia="en-US" w:bidi="ar-SA"/>
        </w:rPr>
        <w:t>Катет шва принять 1/2 t</w:t>
      </w:r>
      <w:r>
        <w:rPr>
          <w:rFonts w:eastAsia="Calibri"/>
          <w:sz w:val="24"/>
          <w:szCs w:val="24"/>
          <w:shd w:fill="FFFFFF" w:val="clear"/>
          <w:vertAlign w:val="subscript"/>
          <w:lang w:val="en-US" w:eastAsia="en-US" w:bidi="ar-SA"/>
        </w:rPr>
        <w:t>m</w:t>
      </w:r>
      <w:r>
        <w:rPr>
          <w:rFonts w:eastAsia="Calibri"/>
          <w:sz w:val="24"/>
          <w:szCs w:val="24"/>
          <w:shd w:fill="FFFFFF" w:val="clear"/>
          <w:vertAlign w:val="subscript"/>
          <w:lang w:eastAsia="en-US" w:bidi="ar-SA"/>
        </w:rPr>
        <w:t>in</w:t>
      </w:r>
      <w:r>
        <w:rPr>
          <w:rFonts w:eastAsia="Calibri"/>
          <w:sz w:val="24"/>
          <w:szCs w:val="24"/>
          <w:shd w:fill="FFFFFF" w:val="clear"/>
          <w:lang w:eastAsia="en-US" w:bidi="ar-SA"/>
        </w:rPr>
        <w:t xml:space="preserve"> где t</w:t>
      </w:r>
      <w:r>
        <w:rPr>
          <w:rFonts w:eastAsia="Calibri"/>
          <w:sz w:val="24"/>
          <w:szCs w:val="24"/>
          <w:shd w:fill="FFFFFF" w:val="clear"/>
          <w:vertAlign w:val="subscript"/>
          <w:lang w:eastAsia="en-US" w:bidi="ar-SA"/>
        </w:rPr>
        <w:t>min</w:t>
      </w:r>
      <w:r>
        <w:rPr>
          <w:rFonts w:eastAsia="Calibri"/>
          <w:sz w:val="24"/>
          <w:szCs w:val="24"/>
          <w:shd w:fill="FFFFFF" w:val="clear"/>
          <w:lang w:eastAsia="en-US" w:bidi="ar-SA"/>
        </w:rPr>
        <w:t xml:space="preserve"> наименьшая толщина свариваемых деталей.</w:t>
      </w:r>
    </w:p>
    <w:p>
      <w:pPr>
        <w:pStyle w:val="NormalWeb"/>
        <w:spacing w:lineRule="auto" w:line="276" w:beforeAutospacing="0" w:before="0" w:afterAutospacing="0" w:after="0"/>
        <w:ind w:left="720"/>
        <w:rPr>
          <w:b/>
          <w:i/>
          <w:i/>
        </w:rPr>
      </w:pPr>
      <w:r>
        <w:rPr>
          <w:b/>
          <w:i/>
        </w:rPr>
      </w:r>
    </w:p>
    <w:p>
      <w:pPr>
        <w:pStyle w:val="NormalWeb"/>
        <w:spacing w:lineRule="auto" w:line="276" w:beforeAutospacing="0" w:before="0" w:afterAutospacing="0" w:after="0"/>
        <w:ind w:left="720"/>
        <w:rPr>
          <w:b/>
          <w:i/>
          <w:i/>
        </w:rPr>
      </w:pPr>
      <w:r>
        <w:rPr>
          <w:b/>
          <w:i/>
        </w:rPr>
        <w:t>Инструкция:</w:t>
      </w:r>
    </w:p>
    <w:p>
      <w:pPr>
        <w:pStyle w:val="NormalWeb"/>
        <w:spacing w:lineRule="auto" w:line="276" w:beforeAutospacing="0" w:before="0" w:afterAutospacing="0" w:after="0"/>
        <w:ind w:firstLine="709"/>
        <w:jc w:val="both"/>
        <w:rPr/>
      </w:pPr>
      <w:r>
        <w:rPr/>
        <w:t>1. Изучить ведомость прогонов и опорных подушек (лист 1</w:t>
      </w:r>
      <w:r>
        <w:rPr/>
        <w:t>6</w:t>
      </w:r>
      <w:r>
        <w:rPr/>
        <w:t xml:space="preserve"> - чертежи).</w:t>
      </w:r>
    </w:p>
    <w:p>
      <w:pPr>
        <w:pStyle w:val="NormalWeb"/>
        <w:spacing w:lineRule="auto" w:line="276" w:beforeAutospacing="0" w:before="0" w:afterAutospacing="0" w:after="0"/>
        <w:ind w:firstLine="709"/>
        <w:jc w:val="both"/>
        <w:rPr/>
      </w:pPr>
      <w:r>
        <w:rPr/>
        <w:t>2. Заполнить ведомость подсчёта объёмов прогонов и опорных подушек.</w:t>
      </w:r>
    </w:p>
    <w:p>
      <w:pPr>
        <w:pStyle w:val="NormalWeb"/>
        <w:spacing w:lineRule="auto" w:line="276" w:beforeAutospacing="0" w:before="0" w:afterAutospacing="0" w:after="0"/>
        <w:ind w:firstLine="709"/>
        <w:jc w:val="both"/>
        <w:rPr/>
      </w:pPr>
      <w:r>
        <w:rPr/>
      </w:r>
    </w:p>
    <w:p>
      <w:pPr>
        <w:pStyle w:val="NormalWeb"/>
        <w:spacing w:lineRule="auto" w:line="276" w:beforeAutospacing="0" w:before="0" w:afterAutospacing="0" w:after="0"/>
        <w:jc w:val="center"/>
        <w:rPr>
          <w:b/>
        </w:rPr>
      </w:pPr>
      <w:r>
        <w:rPr>
          <w:b/>
        </w:rPr>
        <w:t>Перекрытия</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 xml:space="preserve">Перекрытия - конструктивные горизонтальные элементы, разделяющие здание на этажи и передающие нагрузки на стены. Укладку плит перекрытия производить по выровненному слою цементного раствора М100 толщиной 10мм. </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Приняты сборные железобетонные многопустотные плиты. Швы между панелями тщательно заливают цементным раствором М100.</w:t>
      </w:r>
    </w:p>
    <w:p>
      <w:pPr>
        <w:pStyle w:val="Normal"/>
        <w:widowControl/>
        <w:spacing w:lineRule="auto" w:line="276"/>
        <w:ind w:firstLine="709"/>
        <w:jc w:val="both"/>
        <w:rPr>
          <w:rFonts w:eastAsia="GOSTTypeB"/>
          <w:sz w:val="24"/>
          <w:szCs w:val="24"/>
          <w:lang w:eastAsia="en-US" w:bidi="ar-SA"/>
        </w:rPr>
      </w:pPr>
      <w:r>
        <w:rPr>
          <w:rFonts w:eastAsia="GOSTTypeB"/>
          <w:sz w:val="24"/>
          <w:szCs w:val="24"/>
          <w:lang w:eastAsia="en-US" w:bidi="ar-SA"/>
        </w:rPr>
        <w:t xml:space="preserve">Плиты перекрытий укладываются на несущие стены и анкеруются между собой арматурой </w:t>
      </w:r>
      <w:r>
        <w:rPr>
          <w:rFonts w:eastAsia="GOSTTypeB"/>
          <w:sz w:val="24"/>
          <w:szCs w:val="24"/>
          <w:lang w:val="en-US" w:eastAsia="en-US" w:bidi="ar-SA"/>
        </w:rPr>
        <w:t>AI</w:t>
      </w:r>
      <w:r>
        <w:rPr>
          <w:rFonts w:eastAsia="GOSTTypeB"/>
          <w:sz w:val="24"/>
          <w:szCs w:val="24"/>
          <w:lang w:eastAsia="en-US" w:bidi="ar-SA"/>
        </w:rPr>
        <w:t xml:space="preserve"> диаметром 10 электродами Э-42, диаметром 6 мм, после уже очищают и защищают слоем цементного раствора толщиной 30 мм. Плиты покрытия укладываются закрытыми торцами, заделываемыми бетоном класса В15.</w:t>
      </w:r>
    </w:p>
    <w:p>
      <w:pPr>
        <w:pStyle w:val="Normal"/>
        <w:widowControl/>
        <w:spacing w:lineRule="auto" w:line="276"/>
        <w:ind w:firstLine="709"/>
        <w:jc w:val="both"/>
        <w:rPr>
          <w:rFonts w:eastAsia="GOSTTypeB"/>
          <w:b/>
          <w:i/>
          <w:i/>
          <w:sz w:val="24"/>
          <w:szCs w:val="24"/>
          <w:lang w:eastAsia="en-US" w:bidi="ar-SA"/>
        </w:rPr>
      </w:pPr>
      <w:r>
        <w:rPr>
          <w:rFonts w:eastAsia="GOSTTypeB"/>
          <w:b/>
          <w:i/>
          <w:sz w:val="24"/>
          <w:szCs w:val="24"/>
          <w:lang w:eastAsia="en-US" w:bidi="ar-SA"/>
        </w:rPr>
      </w:r>
    </w:p>
    <w:p>
      <w:pPr>
        <w:pStyle w:val="Normal"/>
        <w:widowControl/>
        <w:spacing w:lineRule="auto" w:line="276"/>
        <w:ind w:firstLine="709"/>
        <w:jc w:val="both"/>
        <w:rPr>
          <w:rFonts w:eastAsia="GOSTTypeB"/>
          <w:b/>
          <w:i/>
          <w:i/>
          <w:sz w:val="24"/>
          <w:szCs w:val="24"/>
          <w:lang w:eastAsia="en-US" w:bidi="ar-SA"/>
        </w:rPr>
      </w:pPr>
      <w:r>
        <w:rPr>
          <w:rFonts w:eastAsia="GOSTTypeB"/>
          <w:b/>
          <w:i/>
          <w:sz w:val="24"/>
          <w:szCs w:val="24"/>
          <w:lang w:eastAsia="en-US" w:bidi="ar-SA"/>
        </w:rPr>
        <w:t>Инструкция:</w:t>
      </w:r>
    </w:p>
    <w:p>
      <w:pPr>
        <w:pStyle w:val="NormalWeb"/>
        <w:spacing w:lineRule="auto" w:line="276" w:beforeAutospacing="0" w:before="0" w:afterAutospacing="0" w:after="0"/>
        <w:ind w:firstLine="709"/>
        <w:jc w:val="both"/>
        <w:rPr/>
      </w:pPr>
      <w:r>
        <w:rPr/>
        <w:t>1. Изучить схему расположения элементов плит перекрытий и покрытий на отм. -0.400; +4.000.</w:t>
      </w:r>
    </w:p>
    <w:p>
      <w:pPr>
        <w:pStyle w:val="NormalWeb"/>
        <w:spacing w:lineRule="auto" w:line="276" w:beforeAutospacing="0" w:before="0" w:afterAutospacing="0" w:after="0"/>
        <w:ind w:firstLine="709"/>
        <w:jc w:val="both"/>
        <w:rPr/>
      </w:pPr>
      <w:r>
        <w:rPr/>
        <w:t>2. Заполнить ведомость подсчёта объёмов работ перекрытий и покрытий.</w:t>
      </w:r>
    </w:p>
    <w:p>
      <w:pPr>
        <w:pStyle w:val="NormalWeb"/>
        <w:spacing w:lineRule="auto" w:line="276" w:beforeAutospacing="0" w:before="0" w:afterAutospacing="0" w:after="0"/>
        <w:ind w:firstLine="709"/>
        <w:jc w:val="both"/>
        <w:rPr/>
      </w:pPr>
      <w:r>
        <w:rPr/>
        <w:t xml:space="preserve">Стоимость плит перекрытий железобетонных многопустотных и покрытий железобетонных многопустотных, на которые отсутствуют Федеральные сметные цены на материалы, изделия, конструкции, брать по расходу бетона из Спецификации элементов перекрытий и покрытий, приведенной </w:t>
      </w:r>
      <w:bookmarkStart w:id="0" w:name="_GoBack"/>
      <w:bookmarkEnd w:id="0"/>
      <w:r>
        <w:rPr/>
        <w:t>в проекте на листе 16.</w:t>
      </w:r>
    </w:p>
    <w:p>
      <w:pPr>
        <w:pStyle w:val="NormalWeb"/>
        <w:spacing w:lineRule="auto" w:line="276" w:beforeAutospacing="0" w:before="0" w:afterAutospacing="0" w:after="0"/>
        <w:ind w:firstLine="709"/>
        <w:jc w:val="both"/>
        <w:rPr>
          <w:rStyle w:val="Strong"/>
          <w:b w:val="false"/>
          <w:bCs w:val="false"/>
        </w:rPr>
      </w:pPr>
      <w:r>
        <w:rPr>
          <w:b w:val="false"/>
          <w:bCs w:val="false"/>
        </w:rPr>
      </w:r>
    </w:p>
    <w:sectPr>
      <w:type w:val="nextPage"/>
      <w:pgSz w:w="11906" w:h="16838"/>
      <w:pgMar w:left="1134" w:right="851" w:gutter="0" w:header="0" w:top="567" w:footer="0" w:bottom="56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Cambria Math">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8" w:hanging="360"/>
      </w:pPr>
      <w:rPr>
        <w:u w:val="none"/>
        <w:rFonts w:ascii="Times New Roman" w:hAnsi="Times New Roman" w:eastAsia="GOSTTypeB" w:cs="Times New Roman"/>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rsid w:val="003c5a24"/>
    <w:pPr>
      <w:widowControl w:val="false"/>
      <w:suppressAutoHyphens w:val="true"/>
      <w:bidi w:val="0"/>
      <w:spacing w:lineRule="auto" w:line="240" w:before="0" w:after="0"/>
      <w:jc w:val="left"/>
    </w:pPr>
    <w:rPr>
      <w:rFonts w:ascii="Times New Roman" w:hAnsi="Times New Roman" w:eastAsia="Times New Roman" w:cs="Times New Roman"/>
      <w:color w:val="auto"/>
      <w:kern w:val="0"/>
      <w:sz w:val="22"/>
      <w:szCs w:val="22"/>
      <w:lang w:val="ru-RU" w:eastAsia="ru-RU" w:bidi="ru-RU"/>
    </w:rPr>
  </w:style>
  <w:style w:type="character" w:styleId="DefaultParagraphFont" w:default="1">
    <w:name w:val="Default Paragraph Font"/>
    <w:uiPriority w:val="1"/>
    <w:semiHidden/>
    <w:unhideWhenUsed/>
    <w:qFormat/>
    <w:rPr/>
  </w:style>
  <w:style w:type="character" w:styleId="Style14" w:customStyle="1">
    <w:name w:val="Основной текст Знак"/>
    <w:basedOn w:val="DefaultParagraphFont"/>
    <w:uiPriority w:val="1"/>
    <w:qFormat/>
    <w:rsid w:val="003c5a24"/>
    <w:rPr>
      <w:rFonts w:ascii="Times New Roman" w:hAnsi="Times New Roman" w:eastAsia="Times New Roman" w:cs="Times New Roman"/>
      <w:sz w:val="24"/>
      <w:szCs w:val="24"/>
      <w:lang w:eastAsia="ru-RU" w:bidi="ru-RU"/>
    </w:rPr>
  </w:style>
  <w:style w:type="character" w:styleId="Style15" w:customStyle="1">
    <w:name w:val="Текст выноски Знак"/>
    <w:basedOn w:val="DefaultParagraphFont"/>
    <w:link w:val="BalloonText"/>
    <w:uiPriority w:val="99"/>
    <w:semiHidden/>
    <w:qFormat/>
    <w:rsid w:val="004845d8"/>
    <w:rPr>
      <w:rFonts w:ascii="Tahoma" w:hAnsi="Tahoma" w:eastAsia="Times New Roman" w:cs="Tahoma"/>
      <w:sz w:val="16"/>
      <w:szCs w:val="16"/>
      <w:lang w:eastAsia="ru-RU" w:bidi="ru-RU"/>
    </w:rPr>
  </w:style>
  <w:style w:type="character" w:styleId="Strong">
    <w:name w:val="Strong"/>
    <w:basedOn w:val="DefaultParagraphFont"/>
    <w:uiPriority w:val="22"/>
    <w:qFormat/>
    <w:rsid w:val="00071bef"/>
    <w:rPr>
      <w:b/>
      <w:bCs/>
    </w:rPr>
  </w:style>
  <w:style w:type="character" w:styleId="PlaceholderText">
    <w:name w:val="Placeholder Text"/>
    <w:basedOn w:val="DefaultParagraphFont"/>
    <w:uiPriority w:val="99"/>
    <w:semiHidden/>
    <w:qFormat/>
    <w:rsid w:val="000937db"/>
    <w:rPr>
      <w:color w:val="808080"/>
    </w:rPr>
  </w:style>
  <w:style w:type="paragraph" w:styleId="Style16">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4"/>
    <w:uiPriority w:val="1"/>
    <w:qFormat/>
    <w:rsid w:val="003c5a24"/>
    <w:pPr/>
    <w:rPr>
      <w:sz w:val="24"/>
      <w:szCs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7">
    <w:name w:val="Указатель"/>
    <w:basedOn w:val="Normal"/>
    <w:qFormat/>
    <w:pPr>
      <w:suppressLineNumbers/>
    </w:pPr>
    <w:rPr>
      <w:rFonts w:cs="Arial"/>
    </w:rPr>
  </w:style>
  <w:style w:type="paragraph" w:styleId="11" w:customStyle="1">
    <w:name w:val="Заголовок 11"/>
    <w:basedOn w:val="Normal"/>
    <w:uiPriority w:val="1"/>
    <w:qFormat/>
    <w:rsid w:val="003c5a24"/>
    <w:pPr>
      <w:ind w:left="564" w:right="295"/>
      <w:jc w:val="center"/>
      <w:outlineLvl w:val="1"/>
    </w:pPr>
    <w:rPr>
      <w:b/>
      <w:bCs/>
      <w:sz w:val="24"/>
      <w:szCs w:val="24"/>
    </w:rPr>
  </w:style>
  <w:style w:type="paragraph" w:styleId="ListParagraph">
    <w:name w:val="List Paragraph"/>
    <w:basedOn w:val="Normal"/>
    <w:uiPriority w:val="1"/>
    <w:qFormat/>
    <w:rsid w:val="003c5a24"/>
    <w:pPr>
      <w:spacing w:before="41" w:after="0"/>
      <w:ind w:hanging="141" w:left="1529"/>
    </w:pPr>
    <w:rPr/>
  </w:style>
  <w:style w:type="paragraph" w:styleId="TableParagraph" w:customStyle="1">
    <w:name w:val="Table Paragraph"/>
    <w:basedOn w:val="Normal"/>
    <w:uiPriority w:val="1"/>
    <w:qFormat/>
    <w:rsid w:val="003c5a24"/>
    <w:pPr/>
    <w:rPr/>
  </w:style>
  <w:style w:type="paragraph" w:styleId="BalloonText">
    <w:name w:val="Balloon Text"/>
    <w:basedOn w:val="Normal"/>
    <w:link w:val="Style15"/>
    <w:uiPriority w:val="99"/>
    <w:semiHidden/>
    <w:unhideWhenUsed/>
    <w:qFormat/>
    <w:rsid w:val="004845d8"/>
    <w:pPr/>
    <w:rPr>
      <w:rFonts w:ascii="Tahoma" w:hAnsi="Tahoma" w:cs="Tahoma"/>
      <w:sz w:val="16"/>
      <w:szCs w:val="16"/>
    </w:rPr>
  </w:style>
  <w:style w:type="paragraph" w:styleId="NormalWeb">
    <w:name w:val="Normal (Web)"/>
    <w:basedOn w:val="Normal"/>
    <w:uiPriority w:val="99"/>
    <w:unhideWhenUsed/>
    <w:qFormat/>
    <w:rsid w:val="005b117c"/>
    <w:pPr>
      <w:widowControl/>
      <w:spacing w:beforeAutospacing="1" w:afterAutospacing="1"/>
    </w:pPr>
    <w:rPr>
      <w:sz w:val="24"/>
      <w:szCs w:val="24"/>
      <w:lang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3c5a24"/>
    <w:pPr>
      <w:spacing w:after="0" w:line="240" w:lineRule="auto"/>
    </w:pPr>
    <w:rPr>
      <w:lang w:val="en-US"/>
    </w:rPr>
    <w:tblPr>
      <w:tblCellMar>
        <w:top w:w="0" w:type="dxa"/>
        <w:left w:w="0" w:type="dxa"/>
        <w:bottom w:w="0" w:type="dxa"/>
        <w:right w:w="0" w:type="dxa"/>
      </w:tblCellMar>
    </w:tblPr>
  </w:style>
  <w:style w:type="table" w:styleId="a6">
    <w:name w:val="Table Grid"/>
    <w:basedOn w:val="a1"/>
    <w:uiPriority w:val="59"/>
    <w:rsid w:val="00297fa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
    <w:name w:val="Сетка таблицы1"/>
    <w:basedOn w:val="a1"/>
    <w:uiPriority w:val="59"/>
    <w:rsid w:val="008f5bb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045A5-29D4-4CE7-A0AA-8A2C659C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Application>LibreOffice/7.6.0.3$Windows_X86_64 LibreOffice_project/69edd8b8ebc41d00b4de3915dc82f8f0fc3b6265</Application>
  <AppVersion>15.0000</AppVersion>
  <Pages>5</Pages>
  <Words>1631</Words>
  <Characters>11241</Characters>
  <CharactersWithSpaces>12805</CharactersWithSpaces>
  <Paragraphs>106</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2024-05-04T11:16:00Z</dcterms:created>
  <dc:creator>Райса Имамразиевна</dc:creator>
  <dc:description/>
  <dc:language>ru-RU</dc:language>
  <cp:lastModifiedBy/>
  <cp:lastPrinted>2024-05-13T11:25:00Z</cp:lastPrinted>
  <dcterms:modified xsi:type="dcterms:W3CDTF">2024-06-01T12:46:30Z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